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2686A" w14:textId="77777777" w:rsidR="00855B80" w:rsidRPr="0093063E" w:rsidRDefault="00CC21C2" w:rsidP="0093063E">
      <w:pPr>
        <w:spacing w:line="271" w:lineRule="exact"/>
        <w:jc w:val="center"/>
        <w:textAlignment w:val="baseline"/>
        <w:rPr>
          <w:rFonts w:eastAsia="Times New Roman"/>
          <w:b/>
          <w:color w:val="000000"/>
          <w:spacing w:val="5"/>
          <w:sz w:val="23"/>
        </w:rPr>
      </w:pPr>
      <w:r w:rsidRPr="0093063E">
        <w:rPr>
          <w:rFonts w:eastAsia="Times New Roman"/>
          <w:b/>
          <w:color w:val="000000"/>
          <w:spacing w:val="5"/>
          <w:sz w:val="23"/>
        </w:rPr>
        <w:t>LIMITED USE LABEL LICENSE: RESEARCH USE ONLY</w:t>
      </w:r>
    </w:p>
    <w:p w14:paraId="42FC6900" w14:textId="77777777" w:rsidR="004F7D09" w:rsidRDefault="00CC21C2" w:rsidP="004F7D09">
      <w:pPr>
        <w:spacing w:before="257" w:line="266" w:lineRule="exact"/>
        <w:jc w:val="both"/>
        <w:textAlignment w:val="baseline"/>
        <w:rPr>
          <w:rFonts w:eastAsia="Times New Roman"/>
          <w:color w:val="000000"/>
          <w:sz w:val="23"/>
        </w:rPr>
      </w:pPr>
      <w:r w:rsidRPr="00101B99">
        <w:rPr>
          <w:rFonts w:eastAsia="Times New Roman"/>
          <w:b/>
          <w:color w:val="000000"/>
          <w:sz w:val="23"/>
        </w:rPr>
        <w:t>Notice to Purchaser</w:t>
      </w:r>
      <w:r w:rsidRPr="00360B0C">
        <w:rPr>
          <w:rFonts w:eastAsia="Times New Roman"/>
          <w:b/>
          <w:color w:val="000000"/>
          <w:sz w:val="23"/>
        </w:rPr>
        <w:t>:</w:t>
      </w:r>
      <w:r>
        <w:rPr>
          <w:rFonts w:eastAsia="Times New Roman"/>
          <w:color w:val="000000"/>
          <w:sz w:val="23"/>
        </w:rPr>
        <w:t xml:space="preserve"> This product(s) (</w:t>
      </w:r>
      <w:r w:rsidR="0093063E">
        <w:rPr>
          <w:rFonts w:eastAsia="Times New Roman"/>
          <w:color w:val="000000"/>
          <w:sz w:val="23"/>
        </w:rPr>
        <w:t xml:space="preserve">the </w:t>
      </w:r>
      <w:r>
        <w:rPr>
          <w:rFonts w:eastAsia="Times New Roman"/>
          <w:color w:val="000000"/>
          <w:sz w:val="23"/>
        </w:rPr>
        <w:t>"</w:t>
      </w:r>
      <w:r w:rsidRPr="0093063E">
        <w:rPr>
          <w:rFonts w:eastAsia="Times New Roman"/>
          <w:color w:val="000000"/>
          <w:sz w:val="23"/>
          <w:u w:val="single"/>
        </w:rPr>
        <w:t>Product</w:t>
      </w:r>
      <w:r>
        <w:rPr>
          <w:rFonts w:eastAsia="Times New Roman"/>
          <w:color w:val="000000"/>
          <w:sz w:val="23"/>
        </w:rPr>
        <w:t>") is purchased or leased from Oxford Nanopore Technologies Ltd. (“</w:t>
      </w:r>
      <w:r w:rsidRPr="004F7D09">
        <w:rPr>
          <w:rFonts w:eastAsia="Times New Roman"/>
          <w:color w:val="000000"/>
          <w:sz w:val="23"/>
          <w:u w:val="single"/>
        </w:rPr>
        <w:t>Seller</w:t>
      </w:r>
      <w:r>
        <w:rPr>
          <w:rFonts w:eastAsia="Times New Roman"/>
          <w:color w:val="000000"/>
          <w:sz w:val="23"/>
        </w:rPr>
        <w:t>”) subject to a "</w:t>
      </w:r>
      <w:r w:rsidRPr="0093063E">
        <w:rPr>
          <w:rFonts w:eastAsia="Times New Roman"/>
          <w:color w:val="000000"/>
          <w:sz w:val="23"/>
          <w:u w:val="single"/>
        </w:rPr>
        <w:t xml:space="preserve">Limited </w:t>
      </w:r>
      <w:r w:rsidRPr="004F7D09">
        <w:rPr>
          <w:rFonts w:eastAsia="Times New Roman"/>
          <w:color w:val="000000"/>
          <w:sz w:val="23"/>
          <w:u w:val="single"/>
        </w:rPr>
        <w:t>Use Label License</w:t>
      </w:r>
      <w:r w:rsidRPr="004F7D09">
        <w:rPr>
          <w:rFonts w:eastAsia="Times New Roman"/>
          <w:color w:val="000000"/>
          <w:sz w:val="23"/>
        </w:rPr>
        <w:t>" conveying to the end-user purchaser or transferee ("</w:t>
      </w:r>
      <w:r w:rsidRPr="004F7D09">
        <w:rPr>
          <w:rFonts w:eastAsia="Times New Roman"/>
          <w:color w:val="000000"/>
          <w:sz w:val="23"/>
          <w:u w:val="single"/>
        </w:rPr>
        <w:t>Purchase</w:t>
      </w:r>
      <w:r w:rsidR="0093063E" w:rsidRPr="004F7D09">
        <w:rPr>
          <w:rFonts w:eastAsia="Times New Roman"/>
          <w:color w:val="000000"/>
          <w:sz w:val="23"/>
          <w:u w:val="single"/>
        </w:rPr>
        <w:t>r</w:t>
      </w:r>
      <w:r w:rsidR="0093063E" w:rsidRPr="004F7D09">
        <w:rPr>
          <w:rFonts w:eastAsia="Times New Roman"/>
          <w:color w:val="000000"/>
          <w:sz w:val="23"/>
        </w:rPr>
        <w:t>”</w:t>
      </w:r>
      <w:r w:rsidRPr="004F7D09">
        <w:rPr>
          <w:rFonts w:eastAsia="Times New Roman"/>
          <w:color w:val="000000"/>
          <w:sz w:val="23"/>
        </w:rPr>
        <w:t>) of the Product(s) a limited, non-transferable right to use the Product(s), and any Product</w:t>
      </w:r>
      <w:r>
        <w:rPr>
          <w:rFonts w:eastAsia="Times New Roman"/>
          <w:color w:val="000000"/>
          <w:sz w:val="23"/>
        </w:rPr>
        <w:t>(</w:t>
      </w:r>
      <w:r w:rsidRPr="004F7D09">
        <w:rPr>
          <w:rFonts w:eastAsia="Times New Roman"/>
          <w:color w:val="000000"/>
          <w:sz w:val="23"/>
        </w:rPr>
        <w:t>s</w:t>
      </w:r>
      <w:r>
        <w:rPr>
          <w:rFonts w:eastAsia="Times New Roman"/>
          <w:color w:val="000000"/>
          <w:sz w:val="23"/>
        </w:rPr>
        <w:t>)</w:t>
      </w:r>
      <w:r w:rsidRPr="004F7D09">
        <w:rPr>
          <w:rFonts w:eastAsia="Times New Roman"/>
          <w:color w:val="000000"/>
          <w:sz w:val="23"/>
        </w:rPr>
        <w:t xml:space="preserve"> made by </w:t>
      </w:r>
      <w:r>
        <w:rPr>
          <w:rFonts w:eastAsia="Times New Roman"/>
          <w:color w:val="000000"/>
          <w:sz w:val="23"/>
        </w:rPr>
        <w:t xml:space="preserve">Purchaser, </w:t>
      </w:r>
      <w:r w:rsidRPr="004F7D09">
        <w:rPr>
          <w:rFonts w:eastAsia="Times New Roman"/>
          <w:color w:val="000000"/>
          <w:sz w:val="23"/>
        </w:rPr>
        <w:t xml:space="preserve">solely for research conducted by such </w:t>
      </w:r>
      <w:r>
        <w:rPr>
          <w:rFonts w:eastAsia="Times New Roman"/>
          <w:color w:val="000000"/>
          <w:sz w:val="23"/>
        </w:rPr>
        <w:t>Purchaser</w:t>
      </w:r>
      <w:r w:rsidRPr="004F7D09">
        <w:rPr>
          <w:rFonts w:eastAsia="Times New Roman"/>
          <w:color w:val="000000"/>
          <w:sz w:val="23"/>
        </w:rPr>
        <w:t xml:space="preserve"> in accordance with all of the</w:t>
      </w:r>
      <w:r w:rsidRPr="004F7D09">
        <w:rPr>
          <w:rFonts w:eastAsia="Times New Roman"/>
          <w:color w:val="000000"/>
          <w:sz w:val="23"/>
        </w:rPr>
        <w:t xml:space="preserve"> following requirements.</w:t>
      </w:r>
    </w:p>
    <w:p w14:paraId="6854EB35" w14:textId="77777777" w:rsidR="004F7D09" w:rsidRDefault="00CC21C2" w:rsidP="004F7D09">
      <w:pPr>
        <w:pStyle w:val="ListParagraph"/>
        <w:numPr>
          <w:ilvl w:val="0"/>
          <w:numId w:val="2"/>
        </w:numPr>
        <w:spacing w:before="257" w:line="266" w:lineRule="exact"/>
        <w:jc w:val="both"/>
        <w:textAlignment w:val="baseline"/>
        <w:rPr>
          <w:rFonts w:eastAsia="Times New Roman"/>
          <w:color w:val="000000"/>
          <w:sz w:val="23"/>
        </w:rPr>
      </w:pPr>
      <w:r>
        <w:rPr>
          <w:rFonts w:eastAsia="Times New Roman"/>
          <w:color w:val="000000"/>
          <w:sz w:val="23"/>
        </w:rPr>
        <w:t>Purchaser</w:t>
      </w:r>
      <w:r w:rsidRPr="004F7D09">
        <w:rPr>
          <w:rFonts w:eastAsia="Times New Roman"/>
          <w:color w:val="000000"/>
          <w:sz w:val="23"/>
        </w:rPr>
        <w:t xml:space="preserve"> </w:t>
      </w:r>
      <w:r>
        <w:rPr>
          <w:rFonts w:eastAsia="Times New Roman"/>
          <w:color w:val="000000"/>
          <w:sz w:val="23"/>
        </w:rPr>
        <w:t>may</w:t>
      </w:r>
      <w:r w:rsidRPr="004F7D09">
        <w:rPr>
          <w:rFonts w:eastAsia="Times New Roman"/>
          <w:color w:val="000000"/>
          <w:sz w:val="23"/>
        </w:rPr>
        <w:t xml:space="preserve"> not use </w:t>
      </w:r>
      <w:r>
        <w:rPr>
          <w:rFonts w:eastAsia="Times New Roman"/>
          <w:color w:val="000000"/>
          <w:sz w:val="23"/>
        </w:rPr>
        <w:t xml:space="preserve">the </w:t>
      </w:r>
      <w:r w:rsidRPr="004F7D09">
        <w:rPr>
          <w:rFonts w:eastAsia="Times New Roman"/>
          <w:color w:val="000000"/>
          <w:sz w:val="23"/>
        </w:rPr>
        <w:t>Product</w:t>
      </w:r>
      <w:r>
        <w:rPr>
          <w:rFonts w:eastAsia="Times New Roman"/>
          <w:color w:val="000000"/>
          <w:sz w:val="23"/>
        </w:rPr>
        <w:t>(</w:t>
      </w:r>
      <w:r w:rsidRPr="004F7D09">
        <w:rPr>
          <w:rFonts w:eastAsia="Times New Roman"/>
          <w:color w:val="000000"/>
          <w:sz w:val="23"/>
        </w:rPr>
        <w:t>s</w:t>
      </w:r>
      <w:r>
        <w:rPr>
          <w:rFonts w:eastAsia="Times New Roman"/>
          <w:color w:val="000000"/>
          <w:sz w:val="23"/>
        </w:rPr>
        <w:t>)</w:t>
      </w:r>
      <w:r w:rsidRPr="004F7D09">
        <w:rPr>
          <w:rFonts w:eastAsia="Times New Roman"/>
          <w:color w:val="000000"/>
          <w:sz w:val="23"/>
        </w:rPr>
        <w:t xml:space="preserve"> to perform services for the benefit of any other person or entity or sell or otherwise transfer </w:t>
      </w:r>
      <w:r>
        <w:rPr>
          <w:rFonts w:eastAsia="Times New Roman"/>
          <w:color w:val="000000"/>
          <w:sz w:val="23"/>
        </w:rPr>
        <w:t>the Product(s)</w:t>
      </w:r>
      <w:r w:rsidRPr="004F7D09">
        <w:rPr>
          <w:rFonts w:eastAsia="Times New Roman"/>
          <w:color w:val="000000"/>
          <w:sz w:val="23"/>
        </w:rPr>
        <w:t xml:space="preserve"> (including without limitation any material that contains a Product in whole or in part) to any other person or entity except (1) as </w:t>
      </w:r>
      <w:r w:rsidR="000A30B2">
        <w:rPr>
          <w:rFonts w:eastAsia="Times New Roman"/>
          <w:color w:val="000000"/>
          <w:sz w:val="23"/>
        </w:rPr>
        <w:t xml:space="preserve">otherwise </w:t>
      </w:r>
      <w:r w:rsidRPr="004F7D09">
        <w:rPr>
          <w:rFonts w:eastAsia="Times New Roman"/>
          <w:color w:val="000000"/>
          <w:sz w:val="23"/>
        </w:rPr>
        <w:t xml:space="preserve">permitted under license to </w:t>
      </w:r>
      <w:r>
        <w:rPr>
          <w:rFonts w:eastAsia="Times New Roman"/>
          <w:color w:val="000000"/>
          <w:sz w:val="23"/>
        </w:rPr>
        <w:t xml:space="preserve">Purchaser </w:t>
      </w:r>
      <w:r w:rsidRPr="004F7D09">
        <w:rPr>
          <w:rFonts w:eastAsia="Times New Roman"/>
          <w:color w:val="000000"/>
          <w:sz w:val="23"/>
        </w:rPr>
        <w:t>from</w:t>
      </w:r>
      <w:r>
        <w:rPr>
          <w:rFonts w:eastAsia="Times New Roman"/>
          <w:color w:val="000000"/>
          <w:sz w:val="23"/>
        </w:rPr>
        <w:t xml:space="preserve"> </w:t>
      </w:r>
      <w:r w:rsidRPr="004F7D09">
        <w:rPr>
          <w:rFonts w:eastAsia="Times New Roman"/>
          <w:color w:val="000000"/>
          <w:sz w:val="23"/>
        </w:rPr>
        <w:t>The Broad Institute, Inc. (“</w:t>
      </w:r>
      <w:r w:rsidRPr="004F7D09">
        <w:rPr>
          <w:rFonts w:eastAsia="Times New Roman"/>
          <w:color w:val="000000"/>
          <w:sz w:val="23"/>
          <w:u w:val="single"/>
        </w:rPr>
        <w:t>Broad</w:t>
      </w:r>
      <w:r w:rsidRPr="004F7D09">
        <w:rPr>
          <w:rFonts w:eastAsia="Times New Roman"/>
          <w:color w:val="000000"/>
          <w:sz w:val="23"/>
        </w:rPr>
        <w:t>”) or as permitted by Broad for non-pr</w:t>
      </w:r>
      <w:r w:rsidRPr="004F7D09">
        <w:rPr>
          <w:rFonts w:eastAsia="Times New Roman"/>
          <w:color w:val="000000"/>
          <w:sz w:val="23"/>
        </w:rPr>
        <w:t xml:space="preserve">ofit use as provided at </w:t>
      </w:r>
      <w:r w:rsidRPr="004F7D09">
        <w:rPr>
          <w:rFonts w:eastAsia="Times New Roman"/>
          <w:sz w:val="23"/>
        </w:rPr>
        <w:t>https://www.broadinstitute.org/partnerships/office-strategic-alliances-and-partnering/information-about-licensing-crispr-genome-edi</w:t>
      </w:r>
      <w:r w:rsidRPr="004F7D09">
        <w:rPr>
          <w:rFonts w:eastAsia="Times New Roman"/>
          <w:color w:val="000000"/>
          <w:sz w:val="23"/>
        </w:rPr>
        <w:t xml:space="preserve">, or </w:t>
      </w:r>
      <w:r>
        <w:rPr>
          <w:rFonts w:eastAsia="Times New Roman"/>
          <w:color w:val="000000"/>
          <w:sz w:val="23"/>
        </w:rPr>
        <w:t xml:space="preserve">(2) </w:t>
      </w:r>
      <w:r w:rsidRPr="004F7D09">
        <w:rPr>
          <w:rFonts w:eastAsia="Times New Roman"/>
          <w:color w:val="000000"/>
          <w:sz w:val="23"/>
        </w:rPr>
        <w:t>except and then only to the extent expressly permitted in clause (ii) below</w:t>
      </w:r>
      <w:r>
        <w:rPr>
          <w:rFonts w:eastAsia="Times New Roman"/>
          <w:color w:val="000000"/>
          <w:sz w:val="23"/>
        </w:rPr>
        <w:t>;</w:t>
      </w:r>
    </w:p>
    <w:p w14:paraId="1CD031AA" w14:textId="77777777" w:rsidR="004F7D09" w:rsidRDefault="004F7D09" w:rsidP="004F7D09">
      <w:pPr>
        <w:pStyle w:val="ListParagraph"/>
        <w:spacing w:before="257" w:line="266" w:lineRule="exact"/>
        <w:jc w:val="both"/>
        <w:textAlignment w:val="baseline"/>
        <w:rPr>
          <w:rFonts w:eastAsia="Times New Roman"/>
          <w:color w:val="000000"/>
          <w:sz w:val="23"/>
        </w:rPr>
      </w:pPr>
    </w:p>
    <w:p w14:paraId="7A0DFF53" w14:textId="77777777" w:rsidR="004F7D09" w:rsidRDefault="00CC21C2" w:rsidP="004F7D09">
      <w:pPr>
        <w:pStyle w:val="ListParagraph"/>
        <w:numPr>
          <w:ilvl w:val="0"/>
          <w:numId w:val="2"/>
        </w:numPr>
        <w:spacing w:before="257" w:line="266" w:lineRule="exact"/>
        <w:jc w:val="both"/>
        <w:textAlignment w:val="baseline"/>
        <w:rPr>
          <w:rFonts w:eastAsia="Times New Roman"/>
          <w:color w:val="000000"/>
          <w:sz w:val="23"/>
        </w:rPr>
      </w:pPr>
      <w:r>
        <w:rPr>
          <w:rFonts w:eastAsia="Times New Roman"/>
          <w:color w:val="000000"/>
          <w:sz w:val="23"/>
        </w:rPr>
        <w:t>Purchaser</w:t>
      </w:r>
      <w:r w:rsidRPr="004F7D09">
        <w:rPr>
          <w:rFonts w:eastAsia="Times New Roman"/>
          <w:color w:val="000000"/>
          <w:sz w:val="23"/>
        </w:rPr>
        <w:t xml:space="preserve"> </w:t>
      </w:r>
      <w:r w:rsidR="000A30B2">
        <w:rPr>
          <w:rFonts w:eastAsia="Times New Roman"/>
          <w:color w:val="000000"/>
          <w:sz w:val="23"/>
        </w:rPr>
        <w:t>must</w:t>
      </w:r>
      <w:r w:rsidRPr="004F7D09">
        <w:rPr>
          <w:rFonts w:eastAsia="Times New Roman"/>
          <w:color w:val="000000"/>
          <w:sz w:val="23"/>
        </w:rPr>
        <w:t xml:space="preserve"> use </w:t>
      </w:r>
      <w:r>
        <w:rPr>
          <w:rFonts w:eastAsia="Times New Roman"/>
          <w:color w:val="000000"/>
          <w:sz w:val="23"/>
        </w:rPr>
        <w:t>the Product(s)</w:t>
      </w:r>
      <w:r w:rsidRPr="004F7D09">
        <w:rPr>
          <w:rFonts w:eastAsia="Times New Roman"/>
          <w:color w:val="000000"/>
          <w:sz w:val="23"/>
        </w:rPr>
        <w:t xml:space="preserve"> and </w:t>
      </w:r>
      <w:r>
        <w:rPr>
          <w:rFonts w:eastAsia="Times New Roman"/>
          <w:color w:val="000000"/>
          <w:sz w:val="23"/>
        </w:rPr>
        <w:t xml:space="preserve">its </w:t>
      </w:r>
      <w:r w:rsidRPr="004F7D09">
        <w:rPr>
          <w:rFonts w:eastAsia="Times New Roman"/>
          <w:color w:val="000000"/>
          <w:sz w:val="23"/>
        </w:rPr>
        <w:t xml:space="preserve">components only for </w:t>
      </w:r>
      <w:r>
        <w:rPr>
          <w:rFonts w:eastAsia="Times New Roman"/>
          <w:color w:val="000000"/>
          <w:sz w:val="23"/>
        </w:rPr>
        <w:t>Purchaser’s</w:t>
      </w:r>
      <w:r w:rsidRPr="004F7D09">
        <w:rPr>
          <w:rFonts w:eastAsia="Times New Roman"/>
          <w:color w:val="000000"/>
          <w:sz w:val="23"/>
        </w:rPr>
        <w:t xml:space="preserve"> internal research, quality control and environmental monitoring, in each case within the Field</w:t>
      </w:r>
      <w:r>
        <w:rPr>
          <w:rFonts w:eastAsia="Times New Roman"/>
          <w:color w:val="000000"/>
          <w:sz w:val="23"/>
        </w:rPr>
        <w:t xml:space="preserve"> (as defined below)</w:t>
      </w:r>
      <w:r w:rsidRPr="004F7D09">
        <w:rPr>
          <w:rFonts w:eastAsia="Times New Roman"/>
          <w:color w:val="000000"/>
          <w:sz w:val="23"/>
        </w:rPr>
        <w:t>, and not for any Commercial Purposes (</w:t>
      </w:r>
      <w:r>
        <w:rPr>
          <w:rFonts w:eastAsia="Times New Roman"/>
          <w:color w:val="000000"/>
          <w:sz w:val="23"/>
        </w:rPr>
        <w:t>as defined below)</w:t>
      </w:r>
      <w:r w:rsidR="000A30B2">
        <w:rPr>
          <w:rFonts w:eastAsia="Times New Roman"/>
          <w:color w:val="000000"/>
          <w:sz w:val="23"/>
        </w:rPr>
        <w:t xml:space="preserve">. However, if </w:t>
      </w:r>
      <w:r>
        <w:rPr>
          <w:rFonts w:eastAsia="Times New Roman"/>
          <w:color w:val="000000"/>
          <w:sz w:val="23"/>
        </w:rPr>
        <w:t xml:space="preserve">Purchaser is </w:t>
      </w:r>
      <w:r w:rsidRPr="004F7D09">
        <w:rPr>
          <w:rFonts w:eastAsia="Times New Roman"/>
          <w:color w:val="000000"/>
          <w:sz w:val="23"/>
        </w:rPr>
        <w:t>a contract research organization ("</w:t>
      </w:r>
      <w:r w:rsidRPr="004F7D09">
        <w:rPr>
          <w:rFonts w:eastAsia="Times New Roman"/>
          <w:color w:val="000000"/>
          <w:sz w:val="23"/>
          <w:u w:val="single"/>
        </w:rPr>
        <w:t>CRO Purchaser</w:t>
      </w:r>
      <w:r w:rsidRPr="004F7D09">
        <w:rPr>
          <w:rFonts w:eastAsia="Times New Roman"/>
          <w:color w:val="000000"/>
          <w:sz w:val="23"/>
        </w:rPr>
        <w:t>")</w:t>
      </w:r>
      <w:r>
        <w:rPr>
          <w:rFonts w:eastAsia="Times New Roman"/>
          <w:color w:val="000000"/>
          <w:sz w:val="23"/>
        </w:rPr>
        <w:t>, the Product(s) may be used for those</w:t>
      </w:r>
      <w:r w:rsidRPr="004F7D09">
        <w:rPr>
          <w:rFonts w:eastAsia="Times New Roman"/>
          <w:color w:val="000000"/>
          <w:sz w:val="23"/>
        </w:rPr>
        <w:t xml:space="preserve"> Commercial Purposes</w:t>
      </w:r>
      <w:r>
        <w:rPr>
          <w:rFonts w:eastAsia="Times New Roman"/>
          <w:color w:val="000000"/>
          <w:sz w:val="23"/>
        </w:rPr>
        <w:t xml:space="preserve"> that</w:t>
      </w:r>
      <w:r w:rsidRPr="004F7D09">
        <w:rPr>
          <w:rFonts w:eastAsia="Times New Roman"/>
          <w:color w:val="000000"/>
          <w:sz w:val="23"/>
        </w:rPr>
        <w:t xml:space="preserve"> are contract research services to the extent </w:t>
      </w:r>
      <w:r>
        <w:rPr>
          <w:rFonts w:eastAsia="Times New Roman"/>
          <w:color w:val="000000"/>
          <w:sz w:val="23"/>
        </w:rPr>
        <w:t xml:space="preserve">(1) such </w:t>
      </w:r>
      <w:r w:rsidRPr="004F7D09">
        <w:rPr>
          <w:rFonts w:eastAsia="Times New Roman"/>
          <w:color w:val="000000"/>
          <w:sz w:val="23"/>
        </w:rPr>
        <w:t xml:space="preserve">services </w:t>
      </w:r>
      <w:r>
        <w:rPr>
          <w:rFonts w:eastAsia="Times New Roman"/>
          <w:color w:val="000000"/>
          <w:sz w:val="23"/>
        </w:rPr>
        <w:t xml:space="preserve">are </w:t>
      </w:r>
      <w:r w:rsidRPr="004F7D09">
        <w:rPr>
          <w:rFonts w:eastAsia="Times New Roman"/>
          <w:color w:val="000000"/>
          <w:sz w:val="23"/>
        </w:rPr>
        <w:t>conducted under a written fee-for-service agreement where</w:t>
      </w:r>
      <w:r>
        <w:rPr>
          <w:rFonts w:eastAsia="Times New Roman"/>
          <w:color w:val="000000"/>
          <w:sz w:val="23"/>
        </w:rPr>
        <w:t>by</w:t>
      </w:r>
      <w:r w:rsidRPr="004F7D09">
        <w:rPr>
          <w:rFonts w:eastAsia="Times New Roman"/>
          <w:color w:val="000000"/>
          <w:sz w:val="23"/>
        </w:rPr>
        <w:t xml:space="preserve"> the </w:t>
      </w:r>
      <w:r>
        <w:rPr>
          <w:rFonts w:eastAsia="Times New Roman"/>
          <w:color w:val="000000"/>
          <w:sz w:val="23"/>
        </w:rPr>
        <w:t>Product(s)</w:t>
      </w:r>
      <w:r w:rsidRPr="004F7D09">
        <w:rPr>
          <w:rFonts w:eastAsia="Times New Roman"/>
          <w:color w:val="000000"/>
          <w:sz w:val="23"/>
        </w:rPr>
        <w:t xml:space="preserve"> </w:t>
      </w:r>
      <w:r w:rsidRPr="004F7D09">
        <w:rPr>
          <w:rFonts w:eastAsia="Times New Roman"/>
          <w:color w:val="000000"/>
          <w:sz w:val="23"/>
        </w:rPr>
        <w:t xml:space="preserve">are purchased and used only by </w:t>
      </w:r>
      <w:r>
        <w:rPr>
          <w:rFonts w:eastAsia="Times New Roman"/>
          <w:color w:val="000000"/>
          <w:sz w:val="23"/>
        </w:rPr>
        <w:t xml:space="preserve">CRO Purchaser and </w:t>
      </w:r>
      <w:r w:rsidRPr="004F7D09">
        <w:rPr>
          <w:rFonts w:eastAsia="Times New Roman"/>
          <w:color w:val="000000"/>
          <w:sz w:val="23"/>
        </w:rPr>
        <w:t xml:space="preserve">any transfer of the </w:t>
      </w:r>
      <w:r>
        <w:rPr>
          <w:rFonts w:eastAsia="Times New Roman"/>
          <w:color w:val="000000"/>
          <w:sz w:val="23"/>
        </w:rPr>
        <w:t>Product(s)</w:t>
      </w:r>
      <w:r w:rsidRPr="004F7D09">
        <w:rPr>
          <w:rFonts w:eastAsia="Times New Roman"/>
          <w:color w:val="000000"/>
          <w:sz w:val="23"/>
        </w:rPr>
        <w:t xml:space="preserve"> </w:t>
      </w:r>
      <w:r>
        <w:rPr>
          <w:rFonts w:eastAsia="Times New Roman"/>
          <w:color w:val="000000"/>
          <w:sz w:val="23"/>
        </w:rPr>
        <w:t xml:space="preserve">is specifically precluded, </w:t>
      </w:r>
      <w:r w:rsidRPr="004F7D09">
        <w:rPr>
          <w:rFonts w:eastAsia="Times New Roman"/>
          <w:color w:val="000000"/>
          <w:sz w:val="23"/>
        </w:rPr>
        <w:t>(</w:t>
      </w:r>
      <w:r>
        <w:rPr>
          <w:rFonts w:eastAsia="Times New Roman"/>
          <w:color w:val="000000"/>
          <w:sz w:val="23"/>
        </w:rPr>
        <w:t>2) CRO Purchaser</w:t>
      </w:r>
      <w:r w:rsidRPr="004F7D09">
        <w:rPr>
          <w:rFonts w:eastAsia="Times New Roman"/>
          <w:color w:val="000000"/>
          <w:sz w:val="23"/>
        </w:rPr>
        <w:t xml:space="preserve"> provides the service of generating only information or data on behalf of a CRO customer through the use of the </w:t>
      </w:r>
      <w:r>
        <w:rPr>
          <w:rFonts w:eastAsia="Times New Roman"/>
          <w:color w:val="000000"/>
          <w:sz w:val="23"/>
        </w:rPr>
        <w:t>Product(s)</w:t>
      </w:r>
      <w:r w:rsidRPr="004F7D09">
        <w:rPr>
          <w:rFonts w:eastAsia="Times New Roman"/>
          <w:color w:val="000000"/>
          <w:sz w:val="23"/>
        </w:rPr>
        <w:t>, and (</w:t>
      </w:r>
      <w:r>
        <w:rPr>
          <w:rFonts w:eastAsia="Times New Roman"/>
          <w:color w:val="000000"/>
          <w:sz w:val="23"/>
        </w:rPr>
        <w:t>3</w:t>
      </w:r>
      <w:r w:rsidRPr="004F7D09">
        <w:rPr>
          <w:rFonts w:eastAsia="Times New Roman"/>
          <w:color w:val="000000"/>
          <w:sz w:val="23"/>
        </w:rPr>
        <w:t xml:space="preserve">) </w:t>
      </w:r>
      <w:r w:rsidRPr="004F7D09">
        <w:rPr>
          <w:rFonts w:eastAsia="Times New Roman"/>
          <w:color w:val="000000"/>
          <w:sz w:val="23"/>
        </w:rPr>
        <w:t xml:space="preserve">except for the introduction of guide RNAs to customize a </w:t>
      </w:r>
      <w:r>
        <w:rPr>
          <w:rFonts w:eastAsia="Times New Roman"/>
          <w:color w:val="000000"/>
          <w:sz w:val="23"/>
        </w:rPr>
        <w:t>Product</w:t>
      </w:r>
      <w:r w:rsidRPr="004F7D09">
        <w:rPr>
          <w:rFonts w:eastAsia="Times New Roman"/>
          <w:color w:val="000000"/>
          <w:sz w:val="23"/>
        </w:rPr>
        <w:t xml:space="preserve"> purchased from </w:t>
      </w:r>
      <w:r>
        <w:rPr>
          <w:rFonts w:eastAsia="Times New Roman"/>
          <w:color w:val="000000"/>
          <w:sz w:val="23"/>
        </w:rPr>
        <w:t>Seller</w:t>
      </w:r>
      <w:r w:rsidRPr="004F7D09">
        <w:rPr>
          <w:rFonts w:eastAsia="Times New Roman"/>
          <w:color w:val="000000"/>
          <w:sz w:val="23"/>
        </w:rPr>
        <w:t xml:space="preserve"> in the ordinary course of use of that Product, </w:t>
      </w:r>
      <w:r>
        <w:rPr>
          <w:rFonts w:eastAsia="Times New Roman"/>
          <w:color w:val="000000"/>
          <w:sz w:val="23"/>
        </w:rPr>
        <w:t xml:space="preserve">CRO Purchaser </w:t>
      </w:r>
      <w:r w:rsidRPr="004F7D09">
        <w:rPr>
          <w:rFonts w:eastAsia="Times New Roman"/>
          <w:color w:val="000000"/>
          <w:sz w:val="23"/>
        </w:rPr>
        <w:t>does not otherwise make use of the Patent Rights (</w:t>
      </w:r>
      <w:r>
        <w:rPr>
          <w:rFonts w:eastAsia="Times New Roman"/>
          <w:color w:val="000000"/>
          <w:sz w:val="23"/>
        </w:rPr>
        <w:t>as defined below)</w:t>
      </w:r>
      <w:r w:rsidRPr="004F7D09">
        <w:rPr>
          <w:rFonts w:eastAsia="Times New Roman"/>
          <w:color w:val="000000"/>
          <w:sz w:val="23"/>
        </w:rPr>
        <w:t xml:space="preserve"> in providing services to such CRO custom</w:t>
      </w:r>
      <w:r w:rsidRPr="004F7D09">
        <w:rPr>
          <w:rFonts w:eastAsia="Times New Roman"/>
          <w:color w:val="000000"/>
          <w:sz w:val="23"/>
        </w:rPr>
        <w:t>er</w:t>
      </w:r>
      <w:r>
        <w:rPr>
          <w:rFonts w:eastAsia="Times New Roman"/>
          <w:color w:val="000000"/>
          <w:sz w:val="23"/>
        </w:rPr>
        <w:t>;</w:t>
      </w:r>
    </w:p>
    <w:p w14:paraId="060918AE" w14:textId="77777777" w:rsidR="004F7D09" w:rsidRDefault="004F7D09" w:rsidP="004F7D09">
      <w:pPr>
        <w:pStyle w:val="ListParagraph"/>
        <w:spacing w:before="257" w:line="266" w:lineRule="exact"/>
        <w:jc w:val="both"/>
        <w:textAlignment w:val="baseline"/>
        <w:rPr>
          <w:rFonts w:eastAsia="Times New Roman"/>
          <w:color w:val="000000"/>
          <w:sz w:val="23"/>
        </w:rPr>
      </w:pPr>
    </w:p>
    <w:p w14:paraId="260472B3" w14:textId="77777777" w:rsidR="004F7D09" w:rsidRDefault="00CC21C2" w:rsidP="004F7D09">
      <w:pPr>
        <w:pStyle w:val="ListParagraph"/>
        <w:numPr>
          <w:ilvl w:val="0"/>
          <w:numId w:val="2"/>
        </w:numPr>
        <w:spacing w:before="257" w:line="266" w:lineRule="exact"/>
        <w:jc w:val="both"/>
        <w:textAlignment w:val="baseline"/>
        <w:rPr>
          <w:rFonts w:eastAsia="Times New Roman"/>
          <w:color w:val="000000"/>
          <w:sz w:val="23"/>
        </w:rPr>
      </w:pPr>
      <w:r>
        <w:rPr>
          <w:rFonts w:eastAsia="Times New Roman"/>
          <w:color w:val="000000"/>
          <w:sz w:val="23"/>
        </w:rPr>
        <w:t>Purchaser</w:t>
      </w:r>
      <w:r w:rsidRPr="004F7D09">
        <w:rPr>
          <w:rFonts w:eastAsia="Times New Roman"/>
          <w:color w:val="000000"/>
          <w:sz w:val="23"/>
        </w:rPr>
        <w:t xml:space="preserve"> </w:t>
      </w:r>
      <w:r>
        <w:rPr>
          <w:rFonts w:eastAsia="Times New Roman"/>
          <w:color w:val="000000"/>
          <w:sz w:val="23"/>
        </w:rPr>
        <w:t>must</w:t>
      </w:r>
      <w:r w:rsidRPr="004F7D09">
        <w:rPr>
          <w:rFonts w:eastAsia="Times New Roman"/>
          <w:color w:val="000000"/>
          <w:sz w:val="23"/>
        </w:rPr>
        <w:t xml:space="preserve"> use </w:t>
      </w:r>
      <w:r>
        <w:rPr>
          <w:rFonts w:eastAsia="Times New Roman"/>
          <w:color w:val="000000"/>
          <w:sz w:val="23"/>
        </w:rPr>
        <w:t>the Product(s)</w:t>
      </w:r>
      <w:r w:rsidRPr="004F7D09">
        <w:rPr>
          <w:rFonts w:eastAsia="Times New Roman"/>
          <w:color w:val="000000"/>
          <w:sz w:val="23"/>
        </w:rPr>
        <w:t xml:space="preserve"> in compliance with all applicable laws and regulations, including without limitation applicable human health and animal welfare laws and regulations</w:t>
      </w:r>
      <w:r>
        <w:rPr>
          <w:rFonts w:eastAsia="Times New Roman"/>
          <w:color w:val="000000"/>
          <w:sz w:val="23"/>
        </w:rPr>
        <w:t>. W</w:t>
      </w:r>
      <w:r w:rsidRPr="004F7D09">
        <w:rPr>
          <w:rFonts w:eastAsia="Times New Roman"/>
          <w:color w:val="000000"/>
          <w:sz w:val="23"/>
        </w:rPr>
        <w:t>ith respect to any jurisdiction that does not have laws, rules or regulations that govern genetically mo</w:t>
      </w:r>
      <w:r w:rsidRPr="004F7D09">
        <w:rPr>
          <w:rFonts w:eastAsia="Times New Roman"/>
          <w:color w:val="000000"/>
          <w:sz w:val="23"/>
        </w:rPr>
        <w:t xml:space="preserve">dified crops, </w:t>
      </w:r>
      <w:r>
        <w:rPr>
          <w:rFonts w:eastAsia="Times New Roman"/>
          <w:color w:val="000000"/>
          <w:sz w:val="23"/>
        </w:rPr>
        <w:t>Purchaser</w:t>
      </w:r>
      <w:r w:rsidRPr="004F7D09">
        <w:rPr>
          <w:rFonts w:eastAsia="Times New Roman"/>
          <w:color w:val="000000"/>
          <w:sz w:val="23"/>
        </w:rPr>
        <w:t xml:space="preserve"> </w:t>
      </w:r>
      <w:r>
        <w:rPr>
          <w:rFonts w:eastAsia="Times New Roman"/>
          <w:color w:val="000000"/>
          <w:sz w:val="23"/>
        </w:rPr>
        <w:t>must</w:t>
      </w:r>
      <w:r w:rsidRPr="004F7D09">
        <w:rPr>
          <w:rFonts w:eastAsia="Times New Roman"/>
          <w:color w:val="000000"/>
          <w:sz w:val="23"/>
        </w:rPr>
        <w:t xml:space="preserve"> use </w:t>
      </w:r>
      <w:r>
        <w:rPr>
          <w:rFonts w:eastAsia="Times New Roman"/>
          <w:color w:val="000000"/>
          <w:sz w:val="23"/>
        </w:rPr>
        <w:t>the Product(s)</w:t>
      </w:r>
      <w:r w:rsidRPr="004F7D09">
        <w:rPr>
          <w:rFonts w:eastAsia="Times New Roman"/>
          <w:color w:val="000000"/>
          <w:sz w:val="23"/>
        </w:rPr>
        <w:t xml:space="preserve"> in compliance with all applicable laws, rules and regulations of the United States federal government to the extent applicable to genetically modified crops</w:t>
      </w:r>
      <w:r>
        <w:rPr>
          <w:rFonts w:eastAsia="Times New Roman"/>
          <w:color w:val="000000"/>
          <w:sz w:val="23"/>
        </w:rPr>
        <w:t>;</w:t>
      </w:r>
    </w:p>
    <w:p w14:paraId="13B10C4E" w14:textId="77777777" w:rsidR="004F7D09" w:rsidRDefault="004F7D09" w:rsidP="004F7D09">
      <w:pPr>
        <w:pStyle w:val="ListParagraph"/>
        <w:spacing w:before="257" w:line="266" w:lineRule="exact"/>
        <w:jc w:val="both"/>
        <w:textAlignment w:val="baseline"/>
        <w:rPr>
          <w:rFonts w:eastAsia="Times New Roman"/>
          <w:color w:val="000000"/>
          <w:sz w:val="23"/>
        </w:rPr>
      </w:pPr>
    </w:p>
    <w:p w14:paraId="0A31C68F" w14:textId="77777777" w:rsidR="004F7D09" w:rsidRDefault="00CC21C2" w:rsidP="004F7D09">
      <w:pPr>
        <w:pStyle w:val="ListParagraph"/>
        <w:numPr>
          <w:ilvl w:val="0"/>
          <w:numId w:val="2"/>
        </w:numPr>
        <w:spacing w:before="257" w:line="266" w:lineRule="exact"/>
        <w:jc w:val="both"/>
        <w:textAlignment w:val="baseline"/>
        <w:rPr>
          <w:rFonts w:eastAsia="Times New Roman"/>
          <w:color w:val="000000"/>
          <w:sz w:val="23"/>
        </w:rPr>
      </w:pPr>
      <w:r>
        <w:rPr>
          <w:rFonts w:eastAsia="Times New Roman"/>
          <w:color w:val="000000"/>
          <w:sz w:val="23"/>
        </w:rPr>
        <w:t xml:space="preserve">The </w:t>
      </w:r>
      <w:r w:rsidRPr="004F7D09">
        <w:rPr>
          <w:rFonts w:eastAsia="Times New Roman"/>
          <w:color w:val="000000"/>
          <w:sz w:val="23"/>
        </w:rPr>
        <w:t>Institutions (as defined below) provide no wa</w:t>
      </w:r>
      <w:r w:rsidRPr="004F7D09">
        <w:rPr>
          <w:rFonts w:eastAsia="Times New Roman"/>
          <w:color w:val="000000"/>
          <w:sz w:val="23"/>
        </w:rPr>
        <w:t xml:space="preserve">rranties (statutory or implied) concerning the Patent Rights or </w:t>
      </w:r>
      <w:r>
        <w:rPr>
          <w:rFonts w:eastAsia="Times New Roman"/>
          <w:color w:val="000000"/>
          <w:sz w:val="23"/>
        </w:rPr>
        <w:t>the Product(s)</w:t>
      </w:r>
      <w:r w:rsidRPr="004F7D09">
        <w:rPr>
          <w:rFonts w:eastAsia="Times New Roman"/>
          <w:color w:val="000000"/>
          <w:sz w:val="23"/>
        </w:rPr>
        <w:t xml:space="preserve">, including without limitation, as to product quality, condition, description, merchantability, fitness for a particular purpose, noninfringement of intellectual property rights </w:t>
      </w:r>
      <w:r w:rsidRPr="004F7D09">
        <w:rPr>
          <w:rFonts w:eastAsia="Times New Roman"/>
          <w:color w:val="000000"/>
          <w:sz w:val="23"/>
        </w:rPr>
        <w:t>or the absence of latent or other defects, and all such warranties are hereby expressly disclaimed</w:t>
      </w:r>
      <w:r>
        <w:rPr>
          <w:rFonts w:eastAsia="Times New Roman"/>
          <w:color w:val="000000"/>
          <w:sz w:val="23"/>
        </w:rPr>
        <w:t>. The</w:t>
      </w:r>
      <w:r w:rsidRPr="004F7D09">
        <w:rPr>
          <w:rFonts w:eastAsia="Times New Roman"/>
          <w:color w:val="000000"/>
          <w:sz w:val="23"/>
        </w:rPr>
        <w:t xml:space="preserve"> Institutions expressly disclaim any warranty regarding results obtained </w:t>
      </w:r>
      <w:proofErr w:type="gramStart"/>
      <w:r w:rsidRPr="004F7D09">
        <w:rPr>
          <w:rFonts w:eastAsia="Times New Roman"/>
          <w:color w:val="000000"/>
          <w:sz w:val="23"/>
        </w:rPr>
        <w:t>through the use of</w:t>
      </w:r>
      <w:proofErr w:type="gramEnd"/>
      <w:r w:rsidRPr="004F7D09">
        <w:rPr>
          <w:rFonts w:eastAsia="Times New Roman"/>
          <w:color w:val="000000"/>
          <w:sz w:val="23"/>
        </w:rPr>
        <w:t xml:space="preserve"> the </w:t>
      </w:r>
      <w:r w:rsidR="000A30B2">
        <w:rPr>
          <w:rFonts w:eastAsia="Times New Roman"/>
          <w:color w:val="000000"/>
          <w:sz w:val="23"/>
        </w:rPr>
        <w:t>P</w:t>
      </w:r>
      <w:r>
        <w:rPr>
          <w:rFonts w:eastAsia="Times New Roman"/>
          <w:color w:val="000000"/>
          <w:sz w:val="23"/>
        </w:rPr>
        <w:t>roduct(s)</w:t>
      </w:r>
      <w:r w:rsidRPr="004F7D09">
        <w:rPr>
          <w:rFonts w:eastAsia="Times New Roman"/>
          <w:color w:val="000000"/>
          <w:sz w:val="23"/>
        </w:rPr>
        <w:t>, including without limitation any claim of ina</w:t>
      </w:r>
      <w:r w:rsidRPr="004F7D09">
        <w:rPr>
          <w:rFonts w:eastAsia="Times New Roman"/>
          <w:color w:val="000000"/>
          <w:sz w:val="23"/>
        </w:rPr>
        <w:t>ccurate, invalid or incomplete results</w:t>
      </w:r>
      <w:r>
        <w:rPr>
          <w:rFonts w:eastAsia="Times New Roman"/>
          <w:color w:val="000000"/>
          <w:sz w:val="23"/>
        </w:rPr>
        <w:t xml:space="preserve">. The </w:t>
      </w:r>
      <w:r w:rsidRPr="004F7D09">
        <w:rPr>
          <w:rFonts w:eastAsia="Times New Roman"/>
          <w:color w:val="000000"/>
          <w:sz w:val="23"/>
        </w:rPr>
        <w:t xml:space="preserve">Institutions and their directors, trustees, officers, employees, agents, faculty, affiliated investigators and students, have no liability to </w:t>
      </w:r>
      <w:r>
        <w:rPr>
          <w:rFonts w:eastAsia="Times New Roman"/>
          <w:color w:val="000000"/>
          <w:sz w:val="23"/>
        </w:rPr>
        <w:t>Purchaser</w:t>
      </w:r>
      <w:r w:rsidRPr="004F7D09">
        <w:rPr>
          <w:rFonts w:eastAsia="Times New Roman"/>
          <w:color w:val="000000"/>
          <w:sz w:val="23"/>
        </w:rPr>
        <w:t>, including, without limitation, for any loss of use or profi</w:t>
      </w:r>
      <w:r w:rsidRPr="004F7D09">
        <w:rPr>
          <w:rFonts w:eastAsia="Times New Roman"/>
          <w:color w:val="000000"/>
          <w:sz w:val="23"/>
        </w:rPr>
        <w:t>ts, business interruption or any consequential, incidental, special or other indirect damages of any kind, regardless of how caused and regardless of whether an action in contract, tort, strict product liability or otherwise</w:t>
      </w:r>
      <w:r>
        <w:rPr>
          <w:rFonts w:eastAsia="Times New Roman"/>
          <w:color w:val="000000"/>
          <w:sz w:val="23"/>
        </w:rPr>
        <w:t>.</w:t>
      </w:r>
    </w:p>
    <w:p w14:paraId="329B1499" w14:textId="77777777" w:rsidR="004F7D09" w:rsidRDefault="004F7D09" w:rsidP="004F7D09">
      <w:pPr>
        <w:pStyle w:val="ListParagraph"/>
        <w:spacing w:before="257" w:line="266" w:lineRule="exact"/>
        <w:jc w:val="both"/>
        <w:textAlignment w:val="baseline"/>
        <w:rPr>
          <w:rFonts w:eastAsia="Times New Roman"/>
          <w:color w:val="000000"/>
          <w:sz w:val="23"/>
        </w:rPr>
      </w:pPr>
    </w:p>
    <w:p w14:paraId="0271F15A" w14:textId="77777777" w:rsidR="004F7D09" w:rsidRDefault="00CC21C2" w:rsidP="004F7D09">
      <w:pPr>
        <w:pStyle w:val="ListParagraph"/>
        <w:numPr>
          <w:ilvl w:val="0"/>
          <w:numId w:val="2"/>
        </w:numPr>
        <w:spacing w:before="257" w:line="266" w:lineRule="exact"/>
        <w:jc w:val="both"/>
        <w:textAlignment w:val="baseline"/>
        <w:rPr>
          <w:rFonts w:eastAsia="Times New Roman"/>
          <w:color w:val="000000"/>
          <w:sz w:val="23"/>
        </w:rPr>
      </w:pPr>
      <w:r w:rsidRPr="004F7D09">
        <w:rPr>
          <w:rFonts w:eastAsia="Times New Roman"/>
          <w:color w:val="000000"/>
          <w:sz w:val="23"/>
        </w:rPr>
        <w:lastRenderedPageBreak/>
        <w:t>Purchaser must indemnify, def</w:t>
      </w:r>
      <w:r w:rsidRPr="004F7D09">
        <w:rPr>
          <w:rFonts w:eastAsia="Times New Roman"/>
          <w:color w:val="000000"/>
          <w:sz w:val="23"/>
        </w:rPr>
        <w:t>end and hold harmless the Indemnitees (as defined below) against any liability, damage, loss, or expense (including without limitation reasonable attorneys' fees and expenses) incurred by or imposed upon any of the Indemnitees in connection with any claims</w:t>
      </w:r>
      <w:r w:rsidRPr="004F7D09">
        <w:rPr>
          <w:rFonts w:eastAsia="Times New Roman"/>
          <w:color w:val="000000"/>
          <w:sz w:val="23"/>
        </w:rPr>
        <w:t xml:space="preserve">, suits, investigations, actions, demands or judgments arising out of or related to (1) the exercise of any rights granted to Purchaser </w:t>
      </w:r>
      <w:r w:rsidR="000A30B2">
        <w:rPr>
          <w:rFonts w:eastAsia="Times New Roman"/>
          <w:color w:val="000000"/>
          <w:sz w:val="23"/>
        </w:rPr>
        <w:t>hereunder</w:t>
      </w:r>
      <w:r w:rsidRPr="004F7D09">
        <w:rPr>
          <w:rFonts w:eastAsia="Times New Roman"/>
          <w:color w:val="000000"/>
          <w:sz w:val="23"/>
        </w:rPr>
        <w:t xml:space="preserve">, (2) any breach </w:t>
      </w:r>
      <w:r w:rsidR="000A30B2">
        <w:rPr>
          <w:rFonts w:eastAsia="Times New Roman"/>
          <w:color w:val="000000"/>
          <w:sz w:val="23"/>
        </w:rPr>
        <w:t>hereof by</w:t>
      </w:r>
      <w:r w:rsidRPr="004F7D09">
        <w:rPr>
          <w:rFonts w:eastAsia="Times New Roman"/>
          <w:color w:val="000000"/>
          <w:sz w:val="23"/>
        </w:rPr>
        <w:t xml:space="preserve"> Purchaser, and (</w:t>
      </w:r>
      <w:r w:rsidR="00515303">
        <w:rPr>
          <w:rFonts w:eastAsia="Times New Roman"/>
          <w:color w:val="000000"/>
          <w:sz w:val="23"/>
        </w:rPr>
        <w:t>3</w:t>
      </w:r>
      <w:r w:rsidRPr="004F7D09">
        <w:rPr>
          <w:rFonts w:eastAsia="Times New Roman"/>
          <w:color w:val="000000"/>
          <w:sz w:val="23"/>
        </w:rPr>
        <w:t>) any release, spill, emission, leaking, injection, outcross, depos</w:t>
      </w:r>
      <w:r w:rsidRPr="004F7D09">
        <w:rPr>
          <w:rFonts w:eastAsia="Times New Roman"/>
          <w:color w:val="000000"/>
          <w:sz w:val="23"/>
        </w:rPr>
        <w:t>it, disposal, discharge, dispersal, leaching or migration of material involving or arising from a Product (including any Product) into the atmosphere, soil, surface water, groundwater, sewer system or property</w:t>
      </w:r>
      <w:r w:rsidR="000A30B2">
        <w:rPr>
          <w:rFonts w:eastAsia="Times New Roman"/>
          <w:color w:val="000000"/>
          <w:sz w:val="23"/>
        </w:rPr>
        <w:t>. To</w:t>
      </w:r>
      <w:r w:rsidRPr="004F7D09">
        <w:rPr>
          <w:rFonts w:eastAsia="Times New Roman"/>
          <w:color w:val="000000"/>
          <w:sz w:val="23"/>
        </w:rPr>
        <w:t xml:space="preserve"> the extent the foregoing is not permitted </w:t>
      </w:r>
      <w:r w:rsidRPr="004F7D09">
        <w:rPr>
          <w:rFonts w:eastAsia="Times New Roman"/>
          <w:color w:val="000000"/>
          <w:sz w:val="23"/>
        </w:rPr>
        <w:t xml:space="preserve">by law, Purchaser agrees, to the extent permitted by law, to be responsible for any liability, damage, loss or expense arising out of or related to the exercise of any rights granted to Purchaser </w:t>
      </w:r>
      <w:r w:rsidR="000A30B2">
        <w:rPr>
          <w:rFonts w:eastAsia="Times New Roman"/>
          <w:color w:val="000000"/>
          <w:sz w:val="23"/>
        </w:rPr>
        <w:t>hereunder</w:t>
      </w:r>
      <w:r w:rsidRPr="004F7D09">
        <w:rPr>
          <w:rFonts w:eastAsia="Times New Roman"/>
          <w:color w:val="000000"/>
          <w:sz w:val="23"/>
        </w:rPr>
        <w:t xml:space="preserve"> or any breach by Purchaser</w:t>
      </w:r>
      <w:r w:rsidR="000A30B2">
        <w:rPr>
          <w:rFonts w:eastAsia="Times New Roman"/>
          <w:color w:val="000000"/>
          <w:sz w:val="23"/>
        </w:rPr>
        <w:t xml:space="preserve"> hereof</w:t>
      </w:r>
      <w:r w:rsidRPr="004F7D09">
        <w:rPr>
          <w:rFonts w:eastAsia="Times New Roman"/>
          <w:color w:val="000000"/>
          <w:sz w:val="23"/>
        </w:rPr>
        <w:t>;</w:t>
      </w:r>
    </w:p>
    <w:p w14:paraId="6844ACE9" w14:textId="77777777" w:rsidR="004F7D09" w:rsidRDefault="004F7D09" w:rsidP="004F7D09">
      <w:pPr>
        <w:pStyle w:val="ListParagraph"/>
        <w:spacing w:before="257" w:line="266" w:lineRule="exact"/>
        <w:jc w:val="both"/>
        <w:textAlignment w:val="baseline"/>
        <w:rPr>
          <w:rFonts w:eastAsia="Times New Roman"/>
          <w:color w:val="000000"/>
          <w:sz w:val="23"/>
        </w:rPr>
      </w:pPr>
    </w:p>
    <w:p w14:paraId="2DAA4EB9" w14:textId="77777777" w:rsidR="004F7D09" w:rsidRDefault="00CC21C2" w:rsidP="004F7D09">
      <w:pPr>
        <w:pStyle w:val="ListParagraph"/>
        <w:numPr>
          <w:ilvl w:val="0"/>
          <w:numId w:val="2"/>
        </w:numPr>
        <w:spacing w:before="257" w:line="266" w:lineRule="exact"/>
        <w:jc w:val="both"/>
        <w:textAlignment w:val="baseline"/>
        <w:rPr>
          <w:rFonts w:eastAsia="Times New Roman"/>
          <w:color w:val="000000"/>
          <w:sz w:val="23"/>
        </w:rPr>
      </w:pPr>
      <w:r w:rsidRPr="004F7D09">
        <w:rPr>
          <w:rFonts w:eastAsia="Times New Roman"/>
          <w:color w:val="000000"/>
          <w:sz w:val="23"/>
        </w:rPr>
        <w:t>The Product(s)</w:t>
      </w:r>
      <w:r w:rsidRPr="004F7D09">
        <w:rPr>
          <w:rFonts w:eastAsia="Times New Roman"/>
          <w:color w:val="000000"/>
          <w:sz w:val="23"/>
        </w:rPr>
        <w:t xml:space="preserve"> and its use may be the subject of one or more </w:t>
      </w:r>
      <w:r w:rsidR="00360B0C" w:rsidRPr="004F7D09">
        <w:rPr>
          <w:rFonts w:eastAsia="Times New Roman"/>
          <w:color w:val="000000"/>
          <w:sz w:val="23"/>
        </w:rPr>
        <w:t>iss</w:t>
      </w:r>
      <w:r w:rsidR="00360B0C">
        <w:rPr>
          <w:rFonts w:eastAsia="Times New Roman"/>
          <w:color w:val="000000"/>
          <w:sz w:val="23"/>
        </w:rPr>
        <w:t>ue</w:t>
      </w:r>
      <w:r w:rsidR="00360B0C" w:rsidRPr="004F7D09">
        <w:rPr>
          <w:rFonts w:eastAsia="Times New Roman"/>
          <w:color w:val="000000"/>
          <w:sz w:val="23"/>
        </w:rPr>
        <w:t>d</w:t>
      </w:r>
      <w:r w:rsidRPr="004F7D09">
        <w:rPr>
          <w:rFonts w:eastAsia="Times New Roman"/>
          <w:color w:val="000000"/>
          <w:sz w:val="23"/>
        </w:rPr>
        <w:t xml:space="preserve"> patents or pending patent applications owned by one or more Institutions and the purchase of the Product(s) does not convey a license under any claims in the foregoing patents or patent applications dir</w:t>
      </w:r>
      <w:r w:rsidRPr="004F7D09">
        <w:rPr>
          <w:rFonts w:eastAsia="Times New Roman"/>
          <w:color w:val="000000"/>
          <w:sz w:val="23"/>
        </w:rPr>
        <w:t>ected to the Product(s) or use, production or commercialization thereof, except as expressly set forth herein; and</w:t>
      </w:r>
    </w:p>
    <w:p w14:paraId="799AE526" w14:textId="77777777" w:rsidR="004F7D09" w:rsidRDefault="004F7D09" w:rsidP="004F7D09">
      <w:pPr>
        <w:pStyle w:val="ListParagraph"/>
        <w:spacing w:before="257" w:line="266" w:lineRule="exact"/>
        <w:jc w:val="both"/>
        <w:textAlignment w:val="baseline"/>
        <w:rPr>
          <w:rFonts w:eastAsia="Times New Roman"/>
          <w:color w:val="000000"/>
          <w:sz w:val="23"/>
        </w:rPr>
      </w:pPr>
    </w:p>
    <w:p w14:paraId="4655C9C2" w14:textId="77777777" w:rsidR="004F7D09" w:rsidRDefault="00CC21C2" w:rsidP="004F7D09">
      <w:pPr>
        <w:pStyle w:val="ListParagraph"/>
        <w:numPr>
          <w:ilvl w:val="0"/>
          <w:numId w:val="2"/>
        </w:numPr>
        <w:spacing w:before="257" w:line="266" w:lineRule="exact"/>
        <w:jc w:val="both"/>
        <w:textAlignment w:val="baseline"/>
        <w:rPr>
          <w:rFonts w:eastAsia="Times New Roman"/>
          <w:color w:val="000000"/>
          <w:sz w:val="23"/>
        </w:rPr>
      </w:pPr>
      <w:r w:rsidRPr="004F7D09">
        <w:rPr>
          <w:rFonts w:eastAsia="Times New Roman"/>
          <w:color w:val="000000"/>
          <w:sz w:val="23"/>
        </w:rPr>
        <w:t xml:space="preserve">Nothing in this </w:t>
      </w:r>
      <w:r w:rsidR="000A30B2" w:rsidRPr="000A30B2">
        <w:rPr>
          <w:rFonts w:eastAsia="Times New Roman"/>
          <w:color w:val="000000"/>
          <w:sz w:val="23"/>
        </w:rPr>
        <w:t xml:space="preserve">Limited Use Label License </w:t>
      </w:r>
      <w:r w:rsidRPr="004F7D09">
        <w:rPr>
          <w:rFonts w:eastAsia="Times New Roman"/>
          <w:color w:val="000000"/>
          <w:sz w:val="23"/>
        </w:rPr>
        <w:t>shall be construed to confer any rights upon Purchaser by implication, estoppel, or otherwise as t</w:t>
      </w:r>
      <w:r w:rsidRPr="004F7D09">
        <w:rPr>
          <w:rFonts w:eastAsia="Times New Roman"/>
          <w:color w:val="000000"/>
          <w:sz w:val="23"/>
        </w:rPr>
        <w:t xml:space="preserve">o any technology or patent rights of Broad or any other entity other than the Patent Rights. In addition, nothing herein shall be construed to confer upon Purchaser or any third party any rights under or to the Patent Rights outside of the </w:t>
      </w:r>
      <w:r>
        <w:rPr>
          <w:rFonts w:eastAsia="Times New Roman"/>
          <w:color w:val="000000"/>
          <w:sz w:val="23"/>
        </w:rPr>
        <w:t xml:space="preserve">Field or </w:t>
      </w:r>
      <w:r w:rsidRPr="004F7D09">
        <w:rPr>
          <w:rFonts w:eastAsia="Times New Roman"/>
          <w:color w:val="000000"/>
          <w:sz w:val="23"/>
        </w:rPr>
        <w:t xml:space="preserve">the Ag </w:t>
      </w:r>
      <w:r w:rsidRPr="004F7D09">
        <w:rPr>
          <w:rFonts w:eastAsia="Times New Roman"/>
          <w:color w:val="000000"/>
          <w:sz w:val="23"/>
        </w:rPr>
        <w:t>Field</w:t>
      </w:r>
      <w:r>
        <w:rPr>
          <w:rFonts w:eastAsia="Times New Roman"/>
          <w:color w:val="000000"/>
          <w:sz w:val="23"/>
        </w:rPr>
        <w:t xml:space="preserve"> (as defined below)</w:t>
      </w:r>
      <w:r w:rsidRPr="004F7D09">
        <w:rPr>
          <w:rFonts w:eastAsia="Times New Roman"/>
          <w:color w:val="000000"/>
          <w:sz w:val="23"/>
        </w:rPr>
        <w:t>.</w:t>
      </w:r>
      <w:r w:rsidR="00360B0C">
        <w:rPr>
          <w:rFonts w:eastAsia="Times New Roman"/>
          <w:color w:val="000000"/>
          <w:sz w:val="23"/>
        </w:rPr>
        <w:t xml:space="preserve"> For the avoidance of doubt, neither Purchaser itsel</w:t>
      </w:r>
      <w:r w:rsidR="00AE22BF">
        <w:rPr>
          <w:rFonts w:eastAsia="Times New Roman"/>
          <w:color w:val="000000"/>
          <w:sz w:val="23"/>
        </w:rPr>
        <w:t>f</w:t>
      </w:r>
      <w:r w:rsidR="00360B0C">
        <w:rPr>
          <w:rFonts w:eastAsia="Times New Roman"/>
          <w:color w:val="000000"/>
          <w:sz w:val="23"/>
        </w:rPr>
        <w:t xml:space="preserve"> or with or through other third parties may (1) use the Patent Rights other than as expressly licensed herein, (2) grant rights to any third party to research, develop or commercialize the Product(s) or Processes</w:t>
      </w:r>
      <w:r w:rsidR="00AE22BF">
        <w:rPr>
          <w:rFonts w:eastAsia="Times New Roman"/>
          <w:color w:val="000000"/>
          <w:sz w:val="23"/>
        </w:rPr>
        <w:t xml:space="preserve"> (as defined below)</w:t>
      </w:r>
      <w:r w:rsidR="00360B0C">
        <w:rPr>
          <w:rFonts w:eastAsia="Times New Roman"/>
          <w:color w:val="000000"/>
          <w:sz w:val="23"/>
        </w:rPr>
        <w:t xml:space="preserve"> other than as expressly licensed herein, or (3) sell or offer for sale the Product(s) or Processes resulting from non-compliance with (1) or (2) of the foregoing.</w:t>
      </w:r>
    </w:p>
    <w:p w14:paraId="6429E121" w14:textId="77777777" w:rsidR="004F7D09" w:rsidRDefault="004F7D09" w:rsidP="004F7D09">
      <w:pPr>
        <w:pStyle w:val="ListParagraph"/>
        <w:spacing w:before="257" w:line="266" w:lineRule="exact"/>
        <w:jc w:val="both"/>
        <w:textAlignment w:val="baseline"/>
        <w:rPr>
          <w:rFonts w:eastAsia="Times New Roman"/>
          <w:color w:val="000000"/>
          <w:sz w:val="23"/>
        </w:rPr>
      </w:pPr>
    </w:p>
    <w:p w14:paraId="35AE9E08" w14:textId="77777777" w:rsidR="004F7D09" w:rsidRPr="000A30B2" w:rsidRDefault="00CC21C2" w:rsidP="000A30B2">
      <w:pPr>
        <w:spacing w:before="257" w:line="266" w:lineRule="exact"/>
        <w:jc w:val="center"/>
        <w:textAlignment w:val="baseline"/>
        <w:rPr>
          <w:rFonts w:eastAsia="Times New Roman"/>
          <w:b/>
          <w:color w:val="000000"/>
          <w:sz w:val="23"/>
        </w:rPr>
      </w:pPr>
      <w:r w:rsidRPr="000A30B2">
        <w:rPr>
          <w:rFonts w:eastAsia="Times New Roman"/>
          <w:b/>
          <w:color w:val="000000"/>
          <w:sz w:val="23"/>
        </w:rPr>
        <w:t>DEFINITIONS</w:t>
      </w:r>
    </w:p>
    <w:p w14:paraId="06F17A18" w14:textId="77777777" w:rsidR="004F7D09" w:rsidRPr="004F7D09" w:rsidRDefault="00CC21C2" w:rsidP="004F7D09">
      <w:pPr>
        <w:spacing w:before="257" w:line="266" w:lineRule="exact"/>
        <w:jc w:val="both"/>
        <w:textAlignment w:val="baseline"/>
        <w:rPr>
          <w:rFonts w:eastAsia="Times New Roman"/>
          <w:color w:val="000000"/>
          <w:sz w:val="23"/>
        </w:rPr>
      </w:pPr>
      <w:r w:rsidRPr="004F7D09">
        <w:rPr>
          <w:rFonts w:eastAsia="Times New Roman"/>
          <w:color w:val="000000"/>
          <w:sz w:val="23"/>
        </w:rPr>
        <w:t>"</w:t>
      </w:r>
      <w:r w:rsidRPr="004F7D09">
        <w:rPr>
          <w:rFonts w:eastAsia="Times New Roman"/>
          <w:color w:val="000000"/>
          <w:sz w:val="23"/>
          <w:u w:val="single"/>
        </w:rPr>
        <w:t>Ag Field</w:t>
      </w:r>
      <w:r w:rsidRPr="004F7D09">
        <w:rPr>
          <w:rFonts w:eastAsia="Times New Roman"/>
          <w:color w:val="000000"/>
          <w:sz w:val="23"/>
        </w:rPr>
        <w:t>" means use to improve efficiency of sensing a target-nucleic acid by a</w:t>
      </w:r>
      <w:r>
        <w:rPr>
          <w:rFonts w:eastAsia="Times New Roman"/>
          <w:color w:val="000000"/>
          <w:sz w:val="23"/>
        </w:rPr>
        <w:t xml:space="preserve"> </w:t>
      </w:r>
      <w:r w:rsidRPr="004F7D09">
        <w:rPr>
          <w:rFonts w:eastAsia="Times New Roman"/>
          <w:color w:val="000000"/>
          <w:sz w:val="23"/>
        </w:rPr>
        <w:t>nanopore as part of sam</w:t>
      </w:r>
      <w:r w:rsidRPr="004F7D09">
        <w:rPr>
          <w:rFonts w:eastAsia="Times New Roman"/>
          <w:color w:val="000000"/>
          <w:sz w:val="23"/>
        </w:rPr>
        <w:t xml:space="preserve">ple preparation for nanopore-based sensing, including nucleic acid analysis, for research purposes of agricultural products and processes; </w:t>
      </w:r>
      <w:r w:rsidRPr="004F7D09">
        <w:rPr>
          <w:rFonts w:eastAsia="Times New Roman"/>
          <w:i/>
          <w:color w:val="000000"/>
          <w:sz w:val="23"/>
        </w:rPr>
        <w:t>provided, however</w:t>
      </w:r>
      <w:r w:rsidRPr="004F7D09">
        <w:rPr>
          <w:rFonts w:eastAsia="Times New Roman"/>
          <w:color w:val="000000"/>
          <w:sz w:val="23"/>
        </w:rPr>
        <w:t>, that notwithstanding the foregoing, the Ag Field shall expressly exclude:</w:t>
      </w:r>
    </w:p>
    <w:p w14:paraId="78E58E62" w14:textId="77777777" w:rsidR="004F7D09" w:rsidRPr="004F7D09" w:rsidRDefault="00CC21C2" w:rsidP="004F7D09">
      <w:pPr>
        <w:numPr>
          <w:ilvl w:val="0"/>
          <w:numId w:val="3"/>
        </w:numPr>
        <w:tabs>
          <w:tab w:val="clear" w:pos="360"/>
        </w:tabs>
        <w:spacing w:before="120" w:line="240" w:lineRule="exact"/>
        <w:ind w:left="1094" w:hanging="547"/>
        <w:jc w:val="both"/>
        <w:textAlignment w:val="baseline"/>
        <w:rPr>
          <w:rFonts w:eastAsia="Times New Roman"/>
          <w:color w:val="000000"/>
          <w:sz w:val="23"/>
        </w:rPr>
      </w:pPr>
      <w:r w:rsidRPr="004F7D09">
        <w:rPr>
          <w:rFonts w:eastAsia="Times New Roman"/>
          <w:color w:val="000000"/>
          <w:sz w:val="23"/>
        </w:rPr>
        <w:t xml:space="preserve">any human or </w:t>
      </w:r>
      <w:r w:rsidRPr="004F7D09">
        <w:rPr>
          <w:rFonts w:eastAsia="Times New Roman"/>
          <w:color w:val="000000"/>
          <w:sz w:val="23"/>
        </w:rPr>
        <w:t xml:space="preserve">clinical use, including, without limitation, any administration into humans or any diagnostic or prognostic </w:t>
      </w:r>
      <w:proofErr w:type="gramStart"/>
      <w:r w:rsidRPr="004F7D09">
        <w:rPr>
          <w:rFonts w:eastAsia="Times New Roman"/>
          <w:color w:val="000000"/>
          <w:sz w:val="23"/>
        </w:rPr>
        <w:t>use;</w:t>
      </w:r>
      <w:proofErr w:type="gramEnd"/>
    </w:p>
    <w:p w14:paraId="19943120" w14:textId="77777777" w:rsidR="004F7D09" w:rsidRPr="004F7D09" w:rsidRDefault="00CC21C2" w:rsidP="004F7D09">
      <w:pPr>
        <w:numPr>
          <w:ilvl w:val="0"/>
          <w:numId w:val="3"/>
        </w:numPr>
        <w:tabs>
          <w:tab w:val="clear" w:pos="360"/>
        </w:tabs>
        <w:spacing w:before="120" w:line="240" w:lineRule="exact"/>
        <w:ind w:left="1094" w:hanging="547"/>
        <w:jc w:val="both"/>
        <w:textAlignment w:val="baseline"/>
        <w:rPr>
          <w:rFonts w:eastAsia="Times New Roman"/>
          <w:color w:val="000000"/>
          <w:sz w:val="23"/>
        </w:rPr>
      </w:pPr>
      <w:r w:rsidRPr="004F7D09">
        <w:rPr>
          <w:rFonts w:eastAsia="Times New Roman"/>
          <w:color w:val="000000"/>
          <w:sz w:val="23"/>
        </w:rPr>
        <w:t xml:space="preserve">any human germline modification, including modifying the DNA of human embryos or human reproductive </w:t>
      </w:r>
      <w:proofErr w:type="gramStart"/>
      <w:r w:rsidRPr="004F7D09">
        <w:rPr>
          <w:rFonts w:eastAsia="Times New Roman"/>
          <w:color w:val="000000"/>
          <w:sz w:val="23"/>
        </w:rPr>
        <w:t>cells;</w:t>
      </w:r>
      <w:proofErr w:type="gramEnd"/>
    </w:p>
    <w:p w14:paraId="652D6546" w14:textId="77777777" w:rsidR="004F7D09" w:rsidRPr="004F7D09" w:rsidRDefault="00CC21C2" w:rsidP="004F7D09">
      <w:pPr>
        <w:numPr>
          <w:ilvl w:val="0"/>
          <w:numId w:val="3"/>
        </w:numPr>
        <w:tabs>
          <w:tab w:val="clear" w:pos="360"/>
        </w:tabs>
        <w:spacing w:before="120" w:line="240" w:lineRule="exact"/>
        <w:ind w:left="1094" w:hanging="547"/>
        <w:jc w:val="both"/>
        <w:textAlignment w:val="baseline"/>
        <w:rPr>
          <w:rFonts w:eastAsia="Times New Roman"/>
          <w:color w:val="000000"/>
          <w:sz w:val="23"/>
        </w:rPr>
      </w:pPr>
      <w:r w:rsidRPr="004F7D09">
        <w:rPr>
          <w:rFonts w:eastAsia="Times New Roman"/>
          <w:color w:val="000000"/>
          <w:sz w:val="23"/>
        </w:rPr>
        <w:t xml:space="preserve">any in vivo veterinary or livestock </w:t>
      </w:r>
      <w:proofErr w:type="gramStart"/>
      <w:r w:rsidRPr="004F7D09">
        <w:rPr>
          <w:rFonts w:eastAsia="Times New Roman"/>
          <w:color w:val="000000"/>
          <w:sz w:val="23"/>
        </w:rPr>
        <w:t>use;</w:t>
      </w:r>
      <w:proofErr w:type="gramEnd"/>
    </w:p>
    <w:p w14:paraId="199327AB" w14:textId="77777777" w:rsidR="004F7D09" w:rsidRPr="004F7D09" w:rsidRDefault="00CC21C2" w:rsidP="004F7D09">
      <w:pPr>
        <w:numPr>
          <w:ilvl w:val="0"/>
          <w:numId w:val="3"/>
        </w:numPr>
        <w:tabs>
          <w:tab w:val="clear" w:pos="360"/>
        </w:tabs>
        <w:spacing w:before="120" w:line="240" w:lineRule="exact"/>
        <w:ind w:left="1094" w:hanging="547"/>
        <w:jc w:val="both"/>
        <w:textAlignment w:val="baseline"/>
        <w:rPr>
          <w:rFonts w:eastAsia="Times New Roman"/>
          <w:color w:val="000000"/>
          <w:sz w:val="23"/>
        </w:rPr>
      </w:pPr>
      <w:r w:rsidRPr="004F7D09">
        <w:rPr>
          <w:rFonts w:eastAsia="Times New Roman"/>
          <w:color w:val="000000"/>
          <w:sz w:val="23"/>
        </w:rPr>
        <w:t>the development, manufacture, distribution, importation, exportation, transportation, sale, offer for sale, marketing, promotion or other exploitation or use of the Patent Rights or a Product for or as a therapeutic or diagnostic for humans or animals</w:t>
      </w:r>
      <w:r w:rsidRPr="004F7D09">
        <w:rPr>
          <w:rFonts w:eastAsia="Times New Roman"/>
          <w:color w:val="000000"/>
          <w:sz w:val="23"/>
        </w:rPr>
        <w:t>; products that provide nutritional benefits and are regulated by a regulatory authority as a drug or biologic pursuant to Section 505 of the Federal Food, Drug, and Cosmetic Act of 1938, as amended, Section 351 of the Public Health Service Act of 1944, as</w:t>
      </w:r>
      <w:r w:rsidRPr="004F7D09">
        <w:rPr>
          <w:rFonts w:eastAsia="Times New Roman"/>
          <w:color w:val="000000"/>
          <w:sz w:val="23"/>
        </w:rPr>
        <w:t xml:space="preserve"> amended, or any successor laws, or equivalent laws or regulations in jurisdictions outside the United States;</w:t>
      </w:r>
    </w:p>
    <w:p w14:paraId="3D657A8D" w14:textId="77777777" w:rsidR="004F7D09" w:rsidRPr="004F7D09" w:rsidRDefault="00CC21C2" w:rsidP="004F7D09">
      <w:pPr>
        <w:numPr>
          <w:ilvl w:val="0"/>
          <w:numId w:val="3"/>
        </w:numPr>
        <w:tabs>
          <w:tab w:val="clear" w:pos="360"/>
        </w:tabs>
        <w:spacing w:before="120" w:line="240" w:lineRule="exact"/>
        <w:ind w:left="1094" w:hanging="547"/>
        <w:jc w:val="both"/>
        <w:textAlignment w:val="baseline"/>
        <w:rPr>
          <w:rFonts w:eastAsia="Times New Roman"/>
          <w:color w:val="000000"/>
          <w:sz w:val="23"/>
        </w:rPr>
      </w:pPr>
      <w:r w:rsidRPr="004F7D09">
        <w:rPr>
          <w:rFonts w:eastAsia="Times New Roman"/>
          <w:color w:val="000000"/>
          <w:sz w:val="23"/>
        </w:rPr>
        <w:lastRenderedPageBreak/>
        <w:t>any modification of the tobacco plant (including any plant part, plant cell, plant tissue or plant seed), except for modifications that (I) are r</w:t>
      </w:r>
      <w:r w:rsidRPr="004F7D09">
        <w:rPr>
          <w:rFonts w:eastAsia="Times New Roman"/>
          <w:color w:val="000000"/>
          <w:sz w:val="23"/>
        </w:rPr>
        <w:t>elated to the use of the tobacco plant as a manufacturing system or as a model system for research purposes but (II) are not related to any use or application in the cultivation, growth, manufacture, exportation or production of any tobacco product;</w:t>
      </w:r>
    </w:p>
    <w:p w14:paraId="791B4C3C" w14:textId="77777777" w:rsidR="004F7D09" w:rsidRPr="004F7D09" w:rsidRDefault="00CC21C2" w:rsidP="004F7D09">
      <w:pPr>
        <w:numPr>
          <w:ilvl w:val="0"/>
          <w:numId w:val="3"/>
        </w:numPr>
        <w:tabs>
          <w:tab w:val="clear" w:pos="360"/>
        </w:tabs>
        <w:spacing w:before="120" w:line="240" w:lineRule="exact"/>
        <w:ind w:left="1094" w:hanging="547"/>
        <w:jc w:val="both"/>
        <w:textAlignment w:val="baseline"/>
        <w:rPr>
          <w:rFonts w:eastAsia="Times New Roman"/>
          <w:color w:val="000000"/>
          <w:sz w:val="23"/>
        </w:rPr>
      </w:pPr>
      <w:r w:rsidRPr="004F7D09">
        <w:rPr>
          <w:rFonts w:eastAsia="Times New Roman"/>
          <w:color w:val="000000"/>
          <w:sz w:val="23"/>
        </w:rPr>
        <w:t>any us</w:t>
      </w:r>
      <w:r w:rsidRPr="004F7D09">
        <w:rPr>
          <w:rFonts w:eastAsia="Times New Roman"/>
          <w:color w:val="000000"/>
          <w:sz w:val="23"/>
        </w:rPr>
        <w:t>e or application relating to gene drive; and</w:t>
      </w:r>
    </w:p>
    <w:p w14:paraId="274891E9" w14:textId="77777777" w:rsidR="004F7D09" w:rsidRPr="004F7D09" w:rsidRDefault="00CC21C2" w:rsidP="004F7D09">
      <w:pPr>
        <w:numPr>
          <w:ilvl w:val="0"/>
          <w:numId w:val="3"/>
        </w:numPr>
        <w:tabs>
          <w:tab w:val="clear" w:pos="360"/>
        </w:tabs>
        <w:spacing w:before="120" w:line="240" w:lineRule="exact"/>
        <w:ind w:left="1094" w:hanging="547"/>
        <w:jc w:val="both"/>
        <w:textAlignment w:val="baseline"/>
        <w:rPr>
          <w:rFonts w:eastAsia="Times New Roman"/>
          <w:color w:val="000000"/>
          <w:sz w:val="23"/>
        </w:rPr>
      </w:pPr>
      <w:r w:rsidRPr="004F7D09">
        <w:rPr>
          <w:rFonts w:eastAsia="Times New Roman"/>
          <w:color w:val="000000"/>
          <w:sz w:val="23"/>
        </w:rPr>
        <w:t>any use or application based on or using the collateral activity of CRISPR (e.g., the promiscuous activity of an activated CRISPR).</w:t>
      </w:r>
    </w:p>
    <w:p w14:paraId="261251B7" w14:textId="77777777" w:rsidR="004F7D09" w:rsidRDefault="00CC21C2" w:rsidP="004F7D09">
      <w:pPr>
        <w:spacing w:before="257" w:line="266" w:lineRule="exact"/>
        <w:jc w:val="both"/>
        <w:textAlignment w:val="baseline"/>
        <w:rPr>
          <w:rFonts w:eastAsia="Times New Roman"/>
          <w:color w:val="000000"/>
          <w:sz w:val="23"/>
        </w:rPr>
      </w:pPr>
      <w:r w:rsidRPr="004F7D09">
        <w:rPr>
          <w:rFonts w:eastAsia="Times New Roman"/>
          <w:color w:val="000000"/>
          <w:sz w:val="23"/>
        </w:rPr>
        <w:t>"</w:t>
      </w:r>
      <w:r w:rsidRPr="004F7D09">
        <w:rPr>
          <w:rFonts w:eastAsia="Times New Roman"/>
          <w:color w:val="000000"/>
          <w:sz w:val="23"/>
          <w:u w:val="single"/>
        </w:rPr>
        <w:t>Commercial Purposes</w:t>
      </w:r>
      <w:r w:rsidRPr="004F7D09">
        <w:rPr>
          <w:rFonts w:eastAsia="Times New Roman"/>
          <w:color w:val="000000"/>
          <w:sz w:val="23"/>
        </w:rPr>
        <w:t>" means (a) the practice, performance or provision of any m</w:t>
      </w:r>
      <w:r w:rsidRPr="004F7D09">
        <w:rPr>
          <w:rFonts w:eastAsia="Times New Roman"/>
          <w:color w:val="000000"/>
          <w:sz w:val="23"/>
        </w:rPr>
        <w:t>ethod, process or service</w:t>
      </w:r>
      <w:r>
        <w:rPr>
          <w:rFonts w:eastAsia="Times New Roman"/>
          <w:color w:val="000000"/>
          <w:sz w:val="23"/>
        </w:rPr>
        <w:t>;</w:t>
      </w:r>
      <w:r w:rsidRPr="004F7D09">
        <w:rPr>
          <w:rFonts w:eastAsia="Times New Roman"/>
          <w:color w:val="000000"/>
          <w:sz w:val="23"/>
        </w:rPr>
        <w:t xml:space="preserve"> or (b) the manufacture, production, sale, use, distribution, disposition or importing of any product, in each case (a) or (b) for consideration of any kind, for the purpose</w:t>
      </w:r>
      <w:r>
        <w:rPr>
          <w:rFonts w:eastAsia="Times New Roman"/>
          <w:color w:val="000000"/>
          <w:sz w:val="23"/>
        </w:rPr>
        <w:t xml:space="preserve"> </w:t>
      </w:r>
      <w:r w:rsidRPr="004F7D09">
        <w:rPr>
          <w:rFonts w:eastAsia="Times New Roman"/>
          <w:color w:val="000000"/>
          <w:sz w:val="23"/>
        </w:rPr>
        <w:t>of sale or commercial exploitation, or on any other comm</w:t>
      </w:r>
      <w:r w:rsidRPr="004F7D09">
        <w:rPr>
          <w:rFonts w:eastAsia="Times New Roman"/>
          <w:color w:val="000000"/>
          <w:sz w:val="23"/>
        </w:rPr>
        <w:t xml:space="preserve">ercial basis; unless as expressly permitted </w:t>
      </w:r>
      <w:r>
        <w:rPr>
          <w:rFonts w:eastAsia="Times New Roman"/>
          <w:color w:val="000000"/>
          <w:sz w:val="23"/>
        </w:rPr>
        <w:t>herein.</w:t>
      </w:r>
    </w:p>
    <w:p w14:paraId="27D5AA8E" w14:textId="77777777" w:rsidR="004F7D09" w:rsidRPr="004F7D09" w:rsidRDefault="00CC21C2" w:rsidP="004F7D09">
      <w:pPr>
        <w:spacing w:before="257" w:line="266" w:lineRule="exact"/>
        <w:jc w:val="both"/>
        <w:textAlignment w:val="baseline"/>
        <w:rPr>
          <w:rFonts w:eastAsia="Times New Roman"/>
          <w:color w:val="000000"/>
          <w:sz w:val="23"/>
        </w:rPr>
      </w:pPr>
      <w:r w:rsidRPr="004F7D09">
        <w:rPr>
          <w:rFonts w:eastAsia="Times New Roman"/>
          <w:color w:val="000000"/>
          <w:sz w:val="23"/>
        </w:rPr>
        <w:t>"</w:t>
      </w:r>
      <w:r w:rsidRPr="004F7D09">
        <w:rPr>
          <w:rFonts w:eastAsia="Times New Roman"/>
          <w:color w:val="000000"/>
          <w:sz w:val="23"/>
          <w:u w:val="single"/>
        </w:rPr>
        <w:t>Field</w:t>
      </w:r>
      <w:r w:rsidRPr="004F7D09">
        <w:rPr>
          <w:rFonts w:eastAsia="Times New Roman"/>
          <w:color w:val="000000"/>
          <w:sz w:val="23"/>
        </w:rPr>
        <w:t xml:space="preserve">" means use to improve efficiency of sensing a target-nucleic acid by a nanopore as part of sample preparation for nanopore-based sensing, including nucleic acid analysis (including that from human </w:t>
      </w:r>
      <w:r w:rsidRPr="004F7D09">
        <w:rPr>
          <w:rFonts w:eastAsia="Times New Roman"/>
          <w:color w:val="000000"/>
          <w:sz w:val="23"/>
        </w:rPr>
        <w:t>samples collected by or for clinical laboratories permitted to use a "RESEARCH USE ONLY" Product), for research purposes;</w:t>
      </w:r>
      <w:r w:rsidRPr="004F7D09">
        <w:rPr>
          <w:rFonts w:eastAsia="Times New Roman"/>
          <w:i/>
          <w:color w:val="000000"/>
          <w:sz w:val="23"/>
        </w:rPr>
        <w:t xml:space="preserve"> provided, however</w:t>
      </w:r>
      <w:r w:rsidRPr="004F7D09">
        <w:rPr>
          <w:rFonts w:eastAsia="Times New Roman"/>
          <w:color w:val="000000"/>
          <w:sz w:val="23"/>
        </w:rPr>
        <w:t>, that notwithstanding the foregoing, the Field shall expressly exclude:</w:t>
      </w:r>
    </w:p>
    <w:p w14:paraId="4AFCD197" w14:textId="77777777" w:rsidR="004F7D09" w:rsidRPr="004F7D09" w:rsidRDefault="00CC21C2" w:rsidP="004F7D09">
      <w:pPr>
        <w:numPr>
          <w:ilvl w:val="0"/>
          <w:numId w:val="3"/>
        </w:numPr>
        <w:tabs>
          <w:tab w:val="clear" w:pos="360"/>
        </w:tabs>
        <w:spacing w:before="120" w:line="240" w:lineRule="exact"/>
        <w:ind w:left="1094" w:hanging="547"/>
        <w:jc w:val="both"/>
        <w:textAlignment w:val="baseline"/>
        <w:rPr>
          <w:rFonts w:eastAsia="Times New Roman"/>
          <w:color w:val="000000"/>
          <w:sz w:val="23"/>
        </w:rPr>
      </w:pPr>
      <w:r w:rsidRPr="004F7D09">
        <w:rPr>
          <w:rFonts w:eastAsia="Times New Roman"/>
          <w:color w:val="000000"/>
          <w:sz w:val="23"/>
        </w:rPr>
        <w:t>any human or clinical use, including, withou</w:t>
      </w:r>
      <w:r w:rsidRPr="004F7D09">
        <w:rPr>
          <w:rFonts w:eastAsia="Times New Roman"/>
          <w:color w:val="000000"/>
          <w:sz w:val="23"/>
        </w:rPr>
        <w:t xml:space="preserve">t limitation, any administration into humans or any diagnostic or prognostic </w:t>
      </w:r>
      <w:proofErr w:type="gramStart"/>
      <w:r w:rsidRPr="004F7D09">
        <w:rPr>
          <w:rFonts w:eastAsia="Times New Roman"/>
          <w:color w:val="000000"/>
          <w:sz w:val="23"/>
        </w:rPr>
        <w:t>use;</w:t>
      </w:r>
      <w:proofErr w:type="gramEnd"/>
    </w:p>
    <w:p w14:paraId="60017D0C" w14:textId="77777777" w:rsidR="004F7D09" w:rsidRPr="004F7D09" w:rsidRDefault="00CC21C2" w:rsidP="004F7D09">
      <w:pPr>
        <w:numPr>
          <w:ilvl w:val="0"/>
          <w:numId w:val="3"/>
        </w:numPr>
        <w:tabs>
          <w:tab w:val="clear" w:pos="360"/>
        </w:tabs>
        <w:spacing w:before="120" w:line="240" w:lineRule="exact"/>
        <w:ind w:left="1094" w:hanging="547"/>
        <w:jc w:val="both"/>
        <w:textAlignment w:val="baseline"/>
        <w:rPr>
          <w:rFonts w:eastAsia="Times New Roman"/>
          <w:color w:val="000000"/>
          <w:sz w:val="23"/>
        </w:rPr>
      </w:pPr>
      <w:r w:rsidRPr="004F7D09">
        <w:rPr>
          <w:rFonts w:eastAsia="Times New Roman"/>
          <w:color w:val="000000"/>
          <w:sz w:val="23"/>
        </w:rPr>
        <w:t xml:space="preserve">any human germline modification, including modifying the DNA of human embryos or human reproductive </w:t>
      </w:r>
      <w:proofErr w:type="gramStart"/>
      <w:r w:rsidRPr="004F7D09">
        <w:rPr>
          <w:rFonts w:eastAsia="Times New Roman"/>
          <w:color w:val="000000"/>
          <w:sz w:val="23"/>
        </w:rPr>
        <w:t>cells;</w:t>
      </w:r>
      <w:proofErr w:type="gramEnd"/>
    </w:p>
    <w:p w14:paraId="3427247B" w14:textId="77777777" w:rsidR="004F7D09" w:rsidRDefault="00CC21C2" w:rsidP="004F7D09">
      <w:pPr>
        <w:numPr>
          <w:ilvl w:val="0"/>
          <w:numId w:val="3"/>
        </w:numPr>
        <w:tabs>
          <w:tab w:val="clear" w:pos="360"/>
        </w:tabs>
        <w:spacing w:before="120" w:line="240" w:lineRule="exact"/>
        <w:ind w:left="1094" w:hanging="547"/>
        <w:jc w:val="both"/>
        <w:textAlignment w:val="baseline"/>
        <w:rPr>
          <w:rFonts w:eastAsia="Times New Roman"/>
          <w:color w:val="000000"/>
          <w:sz w:val="23"/>
        </w:rPr>
      </w:pPr>
      <w:r w:rsidRPr="004F7D09">
        <w:rPr>
          <w:rFonts w:eastAsia="Times New Roman"/>
          <w:color w:val="000000"/>
          <w:sz w:val="23"/>
        </w:rPr>
        <w:t xml:space="preserve">any </w:t>
      </w:r>
      <w:r w:rsidRPr="004F7D09">
        <w:rPr>
          <w:rFonts w:eastAsia="Times New Roman"/>
          <w:i/>
          <w:color w:val="000000"/>
          <w:sz w:val="23"/>
        </w:rPr>
        <w:t xml:space="preserve">in vivo </w:t>
      </w:r>
      <w:r w:rsidRPr="004F7D09">
        <w:rPr>
          <w:rFonts w:eastAsia="Times New Roman"/>
          <w:color w:val="000000"/>
          <w:sz w:val="23"/>
        </w:rPr>
        <w:t xml:space="preserve">veterinary or livestock </w:t>
      </w:r>
      <w:proofErr w:type="gramStart"/>
      <w:r w:rsidRPr="004F7D09">
        <w:rPr>
          <w:rFonts w:eastAsia="Times New Roman"/>
          <w:color w:val="000000"/>
          <w:sz w:val="23"/>
        </w:rPr>
        <w:t>use;</w:t>
      </w:r>
      <w:proofErr w:type="gramEnd"/>
    </w:p>
    <w:p w14:paraId="5CAF4478" w14:textId="77777777" w:rsidR="004F7D09" w:rsidRPr="004F7D09" w:rsidRDefault="00CC21C2" w:rsidP="004F7D09">
      <w:pPr>
        <w:numPr>
          <w:ilvl w:val="0"/>
          <w:numId w:val="3"/>
        </w:numPr>
        <w:tabs>
          <w:tab w:val="clear" w:pos="360"/>
        </w:tabs>
        <w:spacing w:before="120" w:line="240" w:lineRule="exact"/>
        <w:ind w:left="1094" w:hanging="547"/>
        <w:jc w:val="both"/>
        <w:textAlignment w:val="baseline"/>
        <w:rPr>
          <w:rFonts w:eastAsia="Times New Roman"/>
          <w:color w:val="000000"/>
          <w:sz w:val="23"/>
        </w:rPr>
      </w:pPr>
      <w:r w:rsidRPr="004F7D09">
        <w:rPr>
          <w:rFonts w:eastAsia="Times New Roman"/>
          <w:color w:val="000000"/>
          <w:sz w:val="23"/>
        </w:rPr>
        <w:t xml:space="preserve">the </w:t>
      </w:r>
      <w:r w:rsidRPr="004F7D09">
        <w:rPr>
          <w:rFonts w:eastAsia="Times New Roman"/>
          <w:color w:val="000000"/>
          <w:sz w:val="23"/>
        </w:rPr>
        <w:t xml:space="preserve">development, manufacture, distribution, importation, exportation, transportation, sale, offer for sale, marketing, promotion or other exploitation or use of the Patent Rights or a Product for or as a therapeutic or diagnostic for humans or </w:t>
      </w:r>
      <w:proofErr w:type="gramStart"/>
      <w:r w:rsidRPr="004F7D09">
        <w:rPr>
          <w:rFonts w:eastAsia="Times New Roman"/>
          <w:color w:val="000000"/>
          <w:sz w:val="23"/>
        </w:rPr>
        <w:t>animals;</w:t>
      </w:r>
      <w:proofErr w:type="gramEnd"/>
    </w:p>
    <w:p w14:paraId="4AE29BDD" w14:textId="77777777" w:rsidR="004F7D09" w:rsidRPr="004F7D09" w:rsidRDefault="00CC21C2" w:rsidP="004F7D09">
      <w:pPr>
        <w:numPr>
          <w:ilvl w:val="0"/>
          <w:numId w:val="3"/>
        </w:numPr>
        <w:tabs>
          <w:tab w:val="clear" w:pos="360"/>
        </w:tabs>
        <w:spacing w:before="120" w:line="240" w:lineRule="exact"/>
        <w:ind w:left="1094" w:hanging="547"/>
        <w:jc w:val="both"/>
        <w:textAlignment w:val="baseline"/>
        <w:rPr>
          <w:rFonts w:eastAsia="Times New Roman"/>
          <w:color w:val="000000"/>
          <w:sz w:val="23"/>
        </w:rPr>
      </w:pPr>
      <w:r w:rsidRPr="004F7D09">
        <w:rPr>
          <w:rFonts w:eastAsia="Times New Roman"/>
          <w:color w:val="000000"/>
          <w:sz w:val="23"/>
        </w:rPr>
        <w:t>product</w:t>
      </w:r>
      <w:r w:rsidRPr="004F7D09">
        <w:rPr>
          <w:rFonts w:eastAsia="Times New Roman"/>
          <w:color w:val="000000"/>
          <w:sz w:val="23"/>
        </w:rPr>
        <w:t>s that provide nutritional benefits and are regulated by a regulatory authority as a drug or biologic pursuant to Section 505 of the Federal Food, Drug, and Cosmetic Act of 1938, as amended, Section 351 of the Public Health Service Act of 1944, as amended,</w:t>
      </w:r>
      <w:r w:rsidRPr="004F7D09">
        <w:rPr>
          <w:rFonts w:eastAsia="Times New Roman"/>
          <w:color w:val="000000"/>
          <w:sz w:val="23"/>
        </w:rPr>
        <w:t xml:space="preserve"> or any successor laws, or equivalent laws or regulations in jurisdictions outside the United States; any agricultural use, including but not limited to the use or application in the cultivation, growth, manufacture, exportation, or production of any tobac</w:t>
      </w:r>
      <w:r w:rsidRPr="004F7D09">
        <w:rPr>
          <w:rFonts w:eastAsia="Times New Roman"/>
          <w:color w:val="000000"/>
          <w:sz w:val="23"/>
        </w:rPr>
        <w:t>co product;</w:t>
      </w:r>
    </w:p>
    <w:p w14:paraId="7282592E" w14:textId="77777777" w:rsidR="004F7D09" w:rsidRPr="004F7D09" w:rsidRDefault="00CC21C2" w:rsidP="004F7D09">
      <w:pPr>
        <w:numPr>
          <w:ilvl w:val="0"/>
          <w:numId w:val="3"/>
        </w:numPr>
        <w:tabs>
          <w:tab w:val="clear" w:pos="360"/>
        </w:tabs>
        <w:spacing w:before="120" w:line="240" w:lineRule="exact"/>
        <w:ind w:left="1094" w:hanging="547"/>
        <w:jc w:val="both"/>
        <w:textAlignment w:val="baseline"/>
        <w:rPr>
          <w:rFonts w:eastAsia="Times New Roman"/>
          <w:color w:val="000000"/>
          <w:sz w:val="23"/>
        </w:rPr>
      </w:pPr>
      <w:r w:rsidRPr="004F7D09">
        <w:rPr>
          <w:rFonts w:eastAsia="Times New Roman"/>
          <w:color w:val="000000"/>
          <w:sz w:val="23"/>
        </w:rPr>
        <w:t>any use or application relating to gene drive; and</w:t>
      </w:r>
    </w:p>
    <w:p w14:paraId="0DA42922" w14:textId="77777777" w:rsidR="004F7D09" w:rsidRPr="004F7D09" w:rsidRDefault="00CC21C2" w:rsidP="004F7D09">
      <w:pPr>
        <w:numPr>
          <w:ilvl w:val="0"/>
          <w:numId w:val="3"/>
        </w:numPr>
        <w:tabs>
          <w:tab w:val="clear" w:pos="360"/>
        </w:tabs>
        <w:spacing w:before="120" w:line="240" w:lineRule="exact"/>
        <w:ind w:left="1094" w:hanging="547"/>
        <w:jc w:val="both"/>
        <w:textAlignment w:val="baseline"/>
        <w:rPr>
          <w:rFonts w:eastAsia="Times New Roman"/>
          <w:color w:val="000000"/>
          <w:sz w:val="23"/>
        </w:rPr>
      </w:pPr>
      <w:r w:rsidRPr="004F7D09">
        <w:rPr>
          <w:rFonts w:eastAsia="Times New Roman"/>
          <w:color w:val="000000"/>
          <w:sz w:val="23"/>
        </w:rPr>
        <w:t>any use or application based on or using the collateral activity of CRISPR (e.g., the promiscuous activity of an activated CRISPR).</w:t>
      </w:r>
    </w:p>
    <w:p w14:paraId="6DCAB4B9" w14:textId="77777777" w:rsidR="004F7D09" w:rsidRDefault="00CC21C2" w:rsidP="004F7D09">
      <w:pPr>
        <w:spacing w:before="257" w:line="266" w:lineRule="exact"/>
        <w:jc w:val="both"/>
        <w:textAlignment w:val="baseline"/>
        <w:rPr>
          <w:rFonts w:eastAsia="Times New Roman"/>
          <w:color w:val="000000"/>
          <w:sz w:val="23"/>
        </w:rPr>
      </w:pPr>
      <w:r>
        <w:rPr>
          <w:rFonts w:eastAsia="Times New Roman"/>
          <w:color w:val="000000"/>
          <w:sz w:val="23"/>
        </w:rPr>
        <w:t>“</w:t>
      </w:r>
      <w:r w:rsidRPr="004F7D09">
        <w:rPr>
          <w:rFonts w:eastAsia="Times New Roman"/>
          <w:color w:val="000000"/>
          <w:sz w:val="23"/>
          <w:u w:val="single"/>
        </w:rPr>
        <w:t>Indemnities</w:t>
      </w:r>
      <w:r>
        <w:rPr>
          <w:rFonts w:eastAsia="Times New Roman"/>
          <w:color w:val="000000"/>
          <w:sz w:val="23"/>
        </w:rPr>
        <w:t xml:space="preserve">” means (a) </w:t>
      </w:r>
      <w:r w:rsidRPr="004F7D09">
        <w:rPr>
          <w:rFonts w:eastAsia="Times New Roman"/>
          <w:color w:val="000000"/>
          <w:sz w:val="23"/>
        </w:rPr>
        <w:t>each Institution, their affiliates an</w:t>
      </w:r>
      <w:r w:rsidRPr="004F7D09">
        <w:rPr>
          <w:rFonts w:eastAsia="Times New Roman"/>
          <w:color w:val="000000"/>
          <w:sz w:val="23"/>
        </w:rPr>
        <w:t>d their current and former trustees, directors, officers, faculty, affiliated investigators, students, employees, medical and professional staff and agents and their respective successors, heirs and assigns</w:t>
      </w:r>
      <w:r>
        <w:rPr>
          <w:rFonts w:eastAsia="Times New Roman"/>
          <w:color w:val="000000"/>
          <w:sz w:val="23"/>
        </w:rPr>
        <w:t xml:space="preserve">; and (b) </w:t>
      </w:r>
      <w:r w:rsidRPr="004F7D09">
        <w:rPr>
          <w:rFonts w:eastAsia="Times New Roman"/>
          <w:color w:val="000000"/>
          <w:sz w:val="23"/>
        </w:rPr>
        <w:t>Howard Hughes Medical Institute</w:t>
      </w:r>
      <w:r>
        <w:rPr>
          <w:rFonts w:eastAsia="Times New Roman"/>
          <w:color w:val="000000"/>
          <w:sz w:val="23"/>
        </w:rPr>
        <w:t xml:space="preserve"> </w:t>
      </w:r>
      <w:r w:rsidRPr="004F7D09">
        <w:rPr>
          <w:rFonts w:eastAsia="Times New Roman"/>
          <w:color w:val="000000"/>
          <w:sz w:val="23"/>
        </w:rPr>
        <w:t xml:space="preserve">and its </w:t>
      </w:r>
      <w:r w:rsidRPr="004F7D09">
        <w:rPr>
          <w:rFonts w:eastAsia="Times New Roman"/>
          <w:color w:val="000000"/>
          <w:sz w:val="23"/>
        </w:rPr>
        <w:t>trustees, officers, employees and agents</w:t>
      </w:r>
      <w:r>
        <w:rPr>
          <w:rFonts w:eastAsia="Times New Roman"/>
          <w:color w:val="000000"/>
          <w:sz w:val="23"/>
        </w:rPr>
        <w:t>.</w:t>
      </w:r>
    </w:p>
    <w:p w14:paraId="1483FFF7" w14:textId="77777777" w:rsidR="004F7D09" w:rsidRPr="004F7D09" w:rsidRDefault="00CC21C2" w:rsidP="004F7D09">
      <w:pPr>
        <w:spacing w:before="257" w:line="266" w:lineRule="exact"/>
        <w:jc w:val="both"/>
        <w:textAlignment w:val="baseline"/>
        <w:rPr>
          <w:rFonts w:eastAsia="Times New Roman"/>
          <w:color w:val="000000"/>
          <w:sz w:val="23"/>
        </w:rPr>
      </w:pPr>
      <w:r w:rsidRPr="004F7D09">
        <w:rPr>
          <w:rFonts w:eastAsia="Times New Roman"/>
          <w:color w:val="000000"/>
          <w:sz w:val="23"/>
        </w:rPr>
        <w:t>"</w:t>
      </w:r>
      <w:r w:rsidRPr="004F7D09">
        <w:rPr>
          <w:rFonts w:eastAsia="Times New Roman"/>
          <w:color w:val="000000"/>
          <w:sz w:val="23"/>
          <w:u w:val="single"/>
        </w:rPr>
        <w:t>Institutions</w:t>
      </w:r>
      <w:r w:rsidRPr="004F7D09">
        <w:rPr>
          <w:rFonts w:eastAsia="Times New Roman"/>
          <w:color w:val="000000"/>
          <w:sz w:val="23"/>
        </w:rPr>
        <w:t>" means Broad, Massachusetts Institute of Technology, Harvard</w:t>
      </w:r>
      <w:r>
        <w:rPr>
          <w:rFonts w:eastAsia="Times New Roman"/>
          <w:color w:val="000000"/>
          <w:sz w:val="23"/>
        </w:rPr>
        <w:t xml:space="preserve"> College</w:t>
      </w:r>
      <w:r w:rsidRPr="004F7D09">
        <w:rPr>
          <w:rFonts w:eastAsia="Times New Roman"/>
          <w:color w:val="000000"/>
          <w:sz w:val="23"/>
        </w:rPr>
        <w:t>, University of Iowa Research Foundation, University of Tokyo, The Rockefeller University, N</w:t>
      </w:r>
      <w:r>
        <w:rPr>
          <w:rFonts w:eastAsia="Times New Roman"/>
          <w:color w:val="000000"/>
          <w:sz w:val="23"/>
        </w:rPr>
        <w:t>ew York University</w:t>
      </w:r>
      <w:r w:rsidRPr="004F7D09">
        <w:rPr>
          <w:rFonts w:eastAsia="Times New Roman"/>
          <w:color w:val="000000"/>
          <w:sz w:val="23"/>
        </w:rPr>
        <w:t>, New York Genome C</w:t>
      </w:r>
      <w:r w:rsidRPr="004F7D09">
        <w:rPr>
          <w:rFonts w:eastAsia="Times New Roman"/>
          <w:color w:val="000000"/>
          <w:sz w:val="23"/>
        </w:rPr>
        <w:t>enter and Whitehead Institute of Biomedical Research, collectively.</w:t>
      </w:r>
    </w:p>
    <w:p w14:paraId="26FF69CB" w14:textId="77777777" w:rsidR="004F7D09" w:rsidRDefault="00CC21C2" w:rsidP="004F7D09">
      <w:pPr>
        <w:spacing w:before="257" w:line="266" w:lineRule="exact"/>
        <w:jc w:val="both"/>
        <w:textAlignment w:val="baseline"/>
        <w:rPr>
          <w:rFonts w:eastAsia="Times New Roman"/>
          <w:color w:val="000000"/>
          <w:sz w:val="23"/>
        </w:rPr>
      </w:pPr>
      <w:r>
        <w:rPr>
          <w:rFonts w:eastAsia="Times New Roman"/>
          <w:color w:val="000000"/>
          <w:sz w:val="23"/>
        </w:rPr>
        <w:t>“</w:t>
      </w:r>
      <w:r w:rsidRPr="004F7D09">
        <w:rPr>
          <w:rFonts w:eastAsia="Times New Roman"/>
          <w:color w:val="000000"/>
          <w:sz w:val="23"/>
          <w:u w:val="single"/>
        </w:rPr>
        <w:t>Patent Rights</w:t>
      </w:r>
      <w:r w:rsidRPr="004F7D09">
        <w:rPr>
          <w:rFonts w:eastAsia="Times New Roman"/>
          <w:color w:val="000000"/>
          <w:sz w:val="23"/>
        </w:rPr>
        <w:t xml:space="preserve">" means </w:t>
      </w:r>
      <w:r w:rsidR="00AE22BF">
        <w:rPr>
          <w:rFonts w:eastAsia="Times New Roman"/>
          <w:color w:val="000000"/>
          <w:sz w:val="23"/>
        </w:rPr>
        <w:t xml:space="preserve">(a) those </w:t>
      </w:r>
      <w:r w:rsidRPr="004F7D09">
        <w:rPr>
          <w:rFonts w:eastAsia="Times New Roman"/>
          <w:color w:val="000000"/>
          <w:sz w:val="23"/>
        </w:rPr>
        <w:t xml:space="preserve">patents and patent applications </w:t>
      </w:r>
      <w:r>
        <w:rPr>
          <w:rFonts w:eastAsia="Times New Roman"/>
          <w:color w:val="000000"/>
          <w:sz w:val="23"/>
        </w:rPr>
        <w:t xml:space="preserve">of Broad </w:t>
      </w:r>
      <w:r w:rsidR="00AE22BF">
        <w:rPr>
          <w:rFonts w:eastAsia="Times New Roman"/>
          <w:color w:val="000000"/>
          <w:sz w:val="23"/>
        </w:rPr>
        <w:t xml:space="preserve">that relate to the Product(s) and/or Processes licensed or sold to Purchaser, as well as </w:t>
      </w:r>
      <w:r w:rsidRPr="004F7D09">
        <w:rPr>
          <w:rFonts w:eastAsia="Times New Roman"/>
          <w:color w:val="000000"/>
          <w:sz w:val="23"/>
        </w:rPr>
        <w:t>(</w:t>
      </w:r>
      <w:r w:rsidR="00AE22BF">
        <w:rPr>
          <w:rFonts w:eastAsia="Times New Roman"/>
          <w:color w:val="000000"/>
          <w:sz w:val="23"/>
        </w:rPr>
        <w:t>I</w:t>
      </w:r>
      <w:r w:rsidRPr="004F7D09">
        <w:rPr>
          <w:rFonts w:eastAsia="Times New Roman"/>
          <w:color w:val="000000"/>
          <w:sz w:val="23"/>
        </w:rPr>
        <w:t>) any substitutions, div</w:t>
      </w:r>
      <w:r w:rsidRPr="004F7D09">
        <w:rPr>
          <w:rFonts w:eastAsia="Times New Roman"/>
          <w:color w:val="000000"/>
          <w:sz w:val="23"/>
        </w:rPr>
        <w:t xml:space="preserve">isions, continuations, reissues, renewals, re-examinations or extensions </w:t>
      </w:r>
      <w:r w:rsidR="00AE22BF">
        <w:rPr>
          <w:rFonts w:eastAsia="Times New Roman"/>
          <w:color w:val="000000"/>
          <w:sz w:val="23"/>
        </w:rPr>
        <w:t>thereof,</w:t>
      </w:r>
      <w:r w:rsidRPr="004F7D09">
        <w:rPr>
          <w:rFonts w:eastAsia="Times New Roman"/>
          <w:color w:val="000000"/>
          <w:sz w:val="23"/>
        </w:rPr>
        <w:t xml:space="preserve"> </w:t>
      </w:r>
      <w:r>
        <w:rPr>
          <w:rFonts w:eastAsia="Times New Roman"/>
          <w:color w:val="000000"/>
          <w:sz w:val="23"/>
        </w:rPr>
        <w:t>(</w:t>
      </w:r>
      <w:r w:rsidR="00AE22BF">
        <w:rPr>
          <w:rFonts w:eastAsia="Times New Roman"/>
          <w:color w:val="000000"/>
          <w:sz w:val="23"/>
        </w:rPr>
        <w:t>II</w:t>
      </w:r>
      <w:r>
        <w:rPr>
          <w:rFonts w:eastAsia="Times New Roman"/>
          <w:color w:val="000000"/>
          <w:sz w:val="23"/>
        </w:rPr>
        <w:t>)</w:t>
      </w:r>
      <w:r w:rsidRPr="004F7D09">
        <w:rPr>
          <w:rFonts w:eastAsia="Times New Roman"/>
          <w:color w:val="000000"/>
          <w:sz w:val="23"/>
        </w:rPr>
        <w:t xml:space="preserve"> any continuations-in-</w:t>
      </w:r>
      <w:r w:rsidRPr="004F7D09">
        <w:rPr>
          <w:rFonts w:eastAsia="Times New Roman"/>
          <w:color w:val="000000"/>
          <w:sz w:val="23"/>
        </w:rPr>
        <w:lastRenderedPageBreak/>
        <w:t xml:space="preserve">part </w:t>
      </w:r>
      <w:r w:rsidR="00AE22BF">
        <w:rPr>
          <w:rFonts w:eastAsia="Times New Roman"/>
          <w:color w:val="000000"/>
          <w:sz w:val="23"/>
        </w:rPr>
        <w:t xml:space="preserve">thereof, </w:t>
      </w:r>
      <w:r w:rsidRPr="004F7D09">
        <w:rPr>
          <w:rFonts w:eastAsia="Times New Roman"/>
          <w:color w:val="000000"/>
          <w:sz w:val="23"/>
        </w:rPr>
        <w:t xml:space="preserve">to the extent the claims are directed to subject matter specifically described in </w:t>
      </w:r>
      <w:r w:rsidR="00AE22BF">
        <w:rPr>
          <w:rFonts w:eastAsia="Times New Roman"/>
          <w:color w:val="000000"/>
          <w:sz w:val="23"/>
        </w:rPr>
        <w:t>such</w:t>
      </w:r>
      <w:r w:rsidRPr="004F7D09">
        <w:rPr>
          <w:rFonts w:eastAsia="Times New Roman"/>
          <w:color w:val="000000"/>
          <w:sz w:val="23"/>
        </w:rPr>
        <w:t xml:space="preserve"> patent or patent application</w:t>
      </w:r>
      <w:r w:rsidR="00AE22BF">
        <w:rPr>
          <w:rFonts w:eastAsia="Times New Roman"/>
          <w:color w:val="000000"/>
          <w:sz w:val="23"/>
        </w:rPr>
        <w:t xml:space="preserve">, </w:t>
      </w:r>
      <w:r>
        <w:rPr>
          <w:rFonts w:eastAsia="Times New Roman"/>
          <w:color w:val="000000"/>
          <w:sz w:val="23"/>
        </w:rPr>
        <w:t>and (</w:t>
      </w:r>
      <w:r w:rsidR="00515303">
        <w:rPr>
          <w:rFonts w:eastAsia="Times New Roman"/>
          <w:color w:val="000000"/>
          <w:sz w:val="23"/>
        </w:rPr>
        <w:t>III</w:t>
      </w:r>
      <w:r>
        <w:rPr>
          <w:rFonts w:eastAsia="Times New Roman"/>
          <w:color w:val="000000"/>
          <w:sz w:val="23"/>
        </w:rPr>
        <w:t xml:space="preserve">) </w:t>
      </w:r>
      <w:r w:rsidRPr="004F7D09">
        <w:rPr>
          <w:rFonts w:eastAsia="Times New Roman"/>
          <w:color w:val="000000"/>
          <w:sz w:val="23"/>
        </w:rPr>
        <w:t xml:space="preserve">any application claiming priority to a provisional application </w:t>
      </w:r>
      <w:r w:rsidR="00AE22BF">
        <w:rPr>
          <w:rFonts w:eastAsia="Times New Roman"/>
          <w:color w:val="000000"/>
          <w:sz w:val="23"/>
        </w:rPr>
        <w:t>thereof,</w:t>
      </w:r>
      <w:r w:rsidRPr="004F7D09">
        <w:rPr>
          <w:rFonts w:eastAsia="Times New Roman"/>
          <w:color w:val="000000"/>
          <w:sz w:val="23"/>
        </w:rPr>
        <w:t xml:space="preserve"> to the extent the claims are directed to subject matter specifically described in </w:t>
      </w:r>
      <w:r w:rsidR="00AE22BF">
        <w:rPr>
          <w:rFonts w:eastAsia="Times New Roman"/>
          <w:color w:val="000000"/>
          <w:sz w:val="23"/>
        </w:rPr>
        <w:t>such</w:t>
      </w:r>
      <w:r w:rsidRPr="004F7D09">
        <w:rPr>
          <w:rFonts w:eastAsia="Times New Roman"/>
          <w:color w:val="000000"/>
          <w:sz w:val="23"/>
        </w:rPr>
        <w:t xml:space="preserve"> provisional patent application; (c) any letters patents and/or the equivalent issuing therefrom i</w:t>
      </w:r>
      <w:r w:rsidRPr="004F7D09">
        <w:rPr>
          <w:rFonts w:eastAsia="Times New Roman"/>
          <w:color w:val="000000"/>
          <w:sz w:val="23"/>
        </w:rPr>
        <w:t xml:space="preserve">n any jurisdiction based on, and only to the extent of, any of the foregoing; and (d) any foreign or international equivalents of any </w:t>
      </w:r>
      <w:r>
        <w:rPr>
          <w:rFonts w:eastAsia="Times New Roman"/>
          <w:color w:val="000000"/>
          <w:sz w:val="23"/>
        </w:rPr>
        <w:t xml:space="preserve">of the foregoing, including without limitation any applications filed under the </w:t>
      </w:r>
      <w:r w:rsidRPr="004F7D09">
        <w:rPr>
          <w:rFonts w:eastAsia="Times New Roman"/>
          <w:color w:val="000000"/>
          <w:sz w:val="23"/>
        </w:rPr>
        <w:t>Patent Cooperation Treaty</w:t>
      </w:r>
      <w:r>
        <w:rPr>
          <w:rFonts w:eastAsia="Times New Roman"/>
          <w:color w:val="000000"/>
          <w:sz w:val="23"/>
        </w:rPr>
        <w:t>.</w:t>
      </w:r>
    </w:p>
    <w:p w14:paraId="2F8A5A07" w14:textId="77777777" w:rsidR="00AE22BF" w:rsidRDefault="00CC21C2" w:rsidP="004F7D09">
      <w:pPr>
        <w:spacing w:before="257" w:line="266" w:lineRule="exact"/>
        <w:jc w:val="both"/>
        <w:textAlignment w:val="baseline"/>
        <w:rPr>
          <w:rFonts w:eastAsia="Times New Roman"/>
          <w:color w:val="000000"/>
          <w:sz w:val="23"/>
        </w:rPr>
      </w:pPr>
      <w:r>
        <w:rPr>
          <w:rFonts w:eastAsia="Times New Roman"/>
          <w:color w:val="000000"/>
          <w:sz w:val="23"/>
        </w:rPr>
        <w:t>“</w:t>
      </w:r>
      <w:r w:rsidRPr="00AE22BF">
        <w:rPr>
          <w:rFonts w:eastAsia="Times New Roman"/>
          <w:color w:val="000000"/>
          <w:sz w:val="23"/>
          <w:u w:val="single"/>
        </w:rPr>
        <w:t>Processes</w:t>
      </w:r>
      <w:r>
        <w:rPr>
          <w:rFonts w:eastAsia="Times New Roman"/>
          <w:color w:val="000000"/>
          <w:sz w:val="23"/>
        </w:rPr>
        <w:t>” mea</w:t>
      </w:r>
      <w:r>
        <w:rPr>
          <w:rFonts w:eastAsia="Times New Roman"/>
          <w:color w:val="000000"/>
          <w:sz w:val="23"/>
        </w:rPr>
        <w:t xml:space="preserve">ns </w:t>
      </w:r>
      <w:r w:rsidRPr="00AE22BF">
        <w:rPr>
          <w:rFonts w:eastAsia="Times New Roman"/>
          <w:color w:val="000000"/>
          <w:sz w:val="23"/>
        </w:rPr>
        <w:t xml:space="preserve">any process, method or service, performed in vitro, (a) the performance, sale or offer for sale of which process, method or service, or part thereof, would infringe (without the license granted </w:t>
      </w:r>
      <w:r>
        <w:rPr>
          <w:rFonts w:eastAsia="Times New Roman"/>
          <w:color w:val="000000"/>
          <w:sz w:val="23"/>
        </w:rPr>
        <w:t>herein</w:t>
      </w:r>
      <w:r w:rsidRPr="00AE22BF">
        <w:rPr>
          <w:rFonts w:eastAsia="Times New Roman"/>
          <w:color w:val="000000"/>
          <w:sz w:val="23"/>
        </w:rPr>
        <w:t xml:space="preserve">) or would be </w:t>
      </w:r>
      <w:r>
        <w:rPr>
          <w:rFonts w:eastAsia="Times New Roman"/>
          <w:color w:val="000000"/>
          <w:sz w:val="23"/>
        </w:rPr>
        <w:t>c</w:t>
      </w:r>
      <w:r w:rsidRPr="00AE22BF">
        <w:rPr>
          <w:rFonts w:eastAsia="Times New Roman"/>
          <w:color w:val="000000"/>
          <w:sz w:val="23"/>
        </w:rPr>
        <w:t xml:space="preserve">overed by at least one </w:t>
      </w:r>
      <w:r>
        <w:rPr>
          <w:rFonts w:eastAsia="Times New Roman"/>
          <w:color w:val="000000"/>
          <w:sz w:val="23"/>
        </w:rPr>
        <w:t>c</w:t>
      </w:r>
      <w:r w:rsidRPr="00AE22BF">
        <w:rPr>
          <w:rFonts w:eastAsia="Times New Roman"/>
          <w:color w:val="000000"/>
          <w:sz w:val="23"/>
        </w:rPr>
        <w:t>laim of the Pa</w:t>
      </w:r>
      <w:r w:rsidRPr="00AE22BF">
        <w:rPr>
          <w:rFonts w:eastAsia="Times New Roman"/>
          <w:color w:val="000000"/>
          <w:sz w:val="23"/>
        </w:rPr>
        <w:t>tent Rights, or that uses a Product, or (b) that is not described in the foregoing clause (a) but that includes, uses, is derived from or is developed, identified or made through the use of the Patent Rights or a Product</w:t>
      </w:r>
      <w:r>
        <w:rPr>
          <w:rFonts w:eastAsia="Times New Roman"/>
          <w:color w:val="000000"/>
          <w:sz w:val="23"/>
        </w:rPr>
        <w:t>.</w:t>
      </w:r>
    </w:p>
    <w:p w14:paraId="69AC8ABE" w14:textId="77777777" w:rsidR="004F7D09" w:rsidRPr="002A1E7E" w:rsidRDefault="00CC21C2" w:rsidP="00360B0C">
      <w:pPr>
        <w:spacing w:before="257" w:line="266" w:lineRule="exact"/>
        <w:jc w:val="center"/>
        <w:textAlignment w:val="baseline"/>
        <w:rPr>
          <w:rFonts w:eastAsia="Times New Roman"/>
          <w:color w:val="000000"/>
          <w:sz w:val="20"/>
          <w:szCs w:val="20"/>
        </w:rPr>
      </w:pPr>
      <w:r w:rsidRPr="004F7D09">
        <w:rPr>
          <w:rFonts w:eastAsia="Times New Roman"/>
          <w:i/>
          <w:color w:val="000000"/>
          <w:sz w:val="23"/>
        </w:rPr>
        <w:t>[Remainder of page intentionally l</w:t>
      </w:r>
      <w:r w:rsidRPr="004F7D09">
        <w:rPr>
          <w:rFonts w:eastAsia="Times New Roman"/>
          <w:i/>
          <w:color w:val="000000"/>
          <w:sz w:val="23"/>
        </w:rPr>
        <w:t>eft blank]</w:t>
      </w:r>
    </w:p>
    <w:sectPr w:rsidR="004F7D09" w:rsidRPr="002A1E7E" w:rsidSect="00360B0C">
      <w:headerReference w:type="even" r:id="rId8"/>
      <w:headerReference w:type="default" r:id="rId9"/>
      <w:footerReference w:type="even" r:id="rId10"/>
      <w:footerReference w:type="default" r:id="rId11"/>
      <w:headerReference w:type="first" r:id="rId12"/>
      <w:footerReference w:type="first" r:id="rId13"/>
      <w:type w:val="continuous"/>
      <w:pgSz w:w="11923" w:h="1684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BC786" w14:textId="77777777" w:rsidR="00000000" w:rsidRDefault="00CC21C2">
      <w:r>
        <w:separator/>
      </w:r>
    </w:p>
  </w:endnote>
  <w:endnote w:type="continuationSeparator" w:id="0">
    <w:p w14:paraId="4738501A" w14:textId="77777777" w:rsidR="00000000" w:rsidRDefault="00CC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89033" w14:textId="77777777" w:rsidR="005B5EAF" w:rsidRDefault="005B5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4123524"/>
      <w:docPartObj>
        <w:docPartGallery w:val="Page Numbers (Bottom of Page)"/>
        <w:docPartUnique/>
      </w:docPartObj>
    </w:sdtPr>
    <w:sdtEndPr>
      <w:rPr>
        <w:noProof/>
      </w:rPr>
    </w:sdtEndPr>
    <w:sdtContent>
      <w:p w14:paraId="04881824" w14:textId="77777777" w:rsidR="00E80352" w:rsidRPr="00360B0C" w:rsidRDefault="00CC21C2" w:rsidP="00360B0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89D47" w14:textId="77777777" w:rsidR="005B5EAF" w:rsidRDefault="005B5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A0798" w14:textId="77777777" w:rsidR="00000000" w:rsidRDefault="00CC21C2">
      <w:r>
        <w:separator/>
      </w:r>
    </w:p>
  </w:footnote>
  <w:footnote w:type="continuationSeparator" w:id="0">
    <w:p w14:paraId="3F0FF443" w14:textId="77777777" w:rsidR="00000000" w:rsidRDefault="00CC2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10937" w14:textId="77777777" w:rsidR="005B5EAF" w:rsidRDefault="005B5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B0EF0" w14:textId="77777777" w:rsidR="005B5EAF" w:rsidRDefault="005B5E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34BC9" w14:textId="77777777" w:rsidR="005B5EAF" w:rsidRDefault="005B5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F1F60"/>
    <w:multiLevelType w:val="multilevel"/>
    <w:tmpl w:val="B66AA262"/>
    <w:lvl w:ilvl="0">
      <w:start w:val="6"/>
      <w:numFmt w:val="lowerLetter"/>
      <w:lvlText w:val="(%1)"/>
      <w:lvlJc w:val="left"/>
      <w:pPr>
        <w:tabs>
          <w:tab w:val="left" w:pos="360"/>
        </w:tabs>
      </w:pPr>
      <w:rPr>
        <w:rFonts w:ascii="Times New Roman" w:eastAsia="Times New Roman" w:hAnsi="Times New Roman"/>
        <w:b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75469D"/>
    <w:multiLevelType w:val="multilevel"/>
    <w:tmpl w:val="73BC6E24"/>
    <w:lvl w:ilvl="0">
      <w:start w:val="1"/>
      <w:numFmt w:val="lowerLetter"/>
      <w:lvlText w:val="(%1)"/>
      <w:lvlJc w:val="left"/>
      <w:pPr>
        <w:tabs>
          <w:tab w:val="left" w:pos="36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FD3C38"/>
    <w:multiLevelType w:val="multilevel"/>
    <w:tmpl w:val="F0268BD8"/>
    <w:lvl w:ilvl="0">
      <w:start w:val="5"/>
      <w:numFmt w:val="lowerLetter"/>
      <w:lvlText w:val="(%1)"/>
      <w:lvlJc w:val="left"/>
      <w:pPr>
        <w:tabs>
          <w:tab w:val="left" w:pos="36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A4437E"/>
    <w:multiLevelType w:val="multilevel"/>
    <w:tmpl w:val="1288660C"/>
    <w:lvl w:ilvl="0">
      <w:numFmt w:val="lowerLetter"/>
      <w:lvlText w:val="(%1)"/>
      <w:lvlJc w:val="left"/>
      <w:pPr>
        <w:tabs>
          <w:tab w:val="left" w:pos="432"/>
        </w:tabs>
      </w:pPr>
      <w:rPr>
        <w:rFonts w:ascii="Times New Roman" w:eastAsia="Times New Roman" w:hAnsi="Times New Roman"/>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490ECF"/>
    <w:multiLevelType w:val="multilevel"/>
    <w:tmpl w:val="8390A1A4"/>
    <w:lvl w:ilvl="0">
      <w:start w:val="1"/>
      <w:numFmt w:val="lowerLetter"/>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49194F"/>
    <w:multiLevelType w:val="multilevel"/>
    <w:tmpl w:val="91E47C78"/>
    <w:lvl w:ilvl="0">
      <w:start w:val="1"/>
      <w:numFmt w:val="lowerLetter"/>
      <w:lvlText w:val="(%1)"/>
      <w:lvlJc w:val="left"/>
      <w:pPr>
        <w:tabs>
          <w:tab w:val="left" w:pos="288"/>
        </w:tabs>
      </w:pPr>
      <w:rPr>
        <w:rFonts w:ascii="Times New Roman" w:eastAsia="Times New Roman" w:hAnsi="Times New Roman"/>
        <w:b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0F6720"/>
    <w:multiLevelType w:val="multilevel"/>
    <w:tmpl w:val="2278CC54"/>
    <w:lvl w:ilvl="0">
      <w:numFmt w:val="lowerLetter"/>
      <w:lvlText w:val="(%1)"/>
      <w:lvlJc w:val="left"/>
      <w:pPr>
        <w:tabs>
          <w:tab w:val="left" w:pos="504"/>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047C9A"/>
    <w:multiLevelType w:val="hybridMultilevel"/>
    <w:tmpl w:val="DC9E5166"/>
    <w:lvl w:ilvl="0" w:tplc="E81ABED4">
      <w:start w:val="1"/>
      <w:numFmt w:val="lowerRoman"/>
      <w:lvlText w:val="%1."/>
      <w:lvlJc w:val="right"/>
      <w:pPr>
        <w:ind w:left="720" w:hanging="360"/>
      </w:pPr>
    </w:lvl>
    <w:lvl w:ilvl="1" w:tplc="3EC8FD60" w:tentative="1">
      <w:start w:val="1"/>
      <w:numFmt w:val="lowerLetter"/>
      <w:lvlText w:val="%2."/>
      <w:lvlJc w:val="left"/>
      <w:pPr>
        <w:ind w:left="1440" w:hanging="360"/>
      </w:pPr>
    </w:lvl>
    <w:lvl w:ilvl="2" w:tplc="F112DE24" w:tentative="1">
      <w:start w:val="1"/>
      <w:numFmt w:val="lowerRoman"/>
      <w:lvlText w:val="%3."/>
      <w:lvlJc w:val="right"/>
      <w:pPr>
        <w:ind w:left="2160" w:hanging="180"/>
      </w:pPr>
    </w:lvl>
    <w:lvl w:ilvl="3" w:tplc="964087A6" w:tentative="1">
      <w:start w:val="1"/>
      <w:numFmt w:val="decimal"/>
      <w:lvlText w:val="%4."/>
      <w:lvlJc w:val="left"/>
      <w:pPr>
        <w:ind w:left="2880" w:hanging="360"/>
      </w:pPr>
    </w:lvl>
    <w:lvl w:ilvl="4" w:tplc="8C52A6C0" w:tentative="1">
      <w:start w:val="1"/>
      <w:numFmt w:val="lowerLetter"/>
      <w:lvlText w:val="%5."/>
      <w:lvlJc w:val="left"/>
      <w:pPr>
        <w:ind w:left="3600" w:hanging="360"/>
      </w:pPr>
    </w:lvl>
    <w:lvl w:ilvl="5" w:tplc="AE2ECCFE" w:tentative="1">
      <w:start w:val="1"/>
      <w:numFmt w:val="lowerRoman"/>
      <w:lvlText w:val="%6."/>
      <w:lvlJc w:val="right"/>
      <w:pPr>
        <w:ind w:left="4320" w:hanging="180"/>
      </w:pPr>
    </w:lvl>
    <w:lvl w:ilvl="6" w:tplc="AC3603BE" w:tentative="1">
      <w:start w:val="1"/>
      <w:numFmt w:val="decimal"/>
      <w:lvlText w:val="%7."/>
      <w:lvlJc w:val="left"/>
      <w:pPr>
        <w:ind w:left="5040" w:hanging="360"/>
      </w:pPr>
    </w:lvl>
    <w:lvl w:ilvl="7" w:tplc="CA06BC42" w:tentative="1">
      <w:start w:val="1"/>
      <w:numFmt w:val="lowerLetter"/>
      <w:lvlText w:val="%8."/>
      <w:lvlJc w:val="left"/>
      <w:pPr>
        <w:ind w:left="5760" w:hanging="360"/>
      </w:pPr>
    </w:lvl>
    <w:lvl w:ilvl="8" w:tplc="A522895C"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6"/>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s>
  <w:rsids>
    <w:rsidRoot w:val="00855B80"/>
    <w:rsid w:val="000A30B2"/>
    <w:rsid w:val="000A7730"/>
    <w:rsid w:val="00101B99"/>
    <w:rsid w:val="0028441C"/>
    <w:rsid w:val="002A1E7E"/>
    <w:rsid w:val="00360B0C"/>
    <w:rsid w:val="003F0F85"/>
    <w:rsid w:val="004F7D09"/>
    <w:rsid w:val="00515303"/>
    <w:rsid w:val="005B5EAF"/>
    <w:rsid w:val="007139E9"/>
    <w:rsid w:val="00855B80"/>
    <w:rsid w:val="0093063E"/>
    <w:rsid w:val="00AE22BF"/>
    <w:rsid w:val="00BE08B9"/>
    <w:rsid w:val="00C625F9"/>
    <w:rsid w:val="00C67FBA"/>
    <w:rsid w:val="00CB6458"/>
    <w:rsid w:val="00CC21C2"/>
    <w:rsid w:val="00D61B6B"/>
    <w:rsid w:val="00DC0CD7"/>
    <w:rsid w:val="00E8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7D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41C"/>
    <w:pPr>
      <w:tabs>
        <w:tab w:val="center" w:pos="4680"/>
        <w:tab w:val="right" w:pos="9360"/>
      </w:tabs>
    </w:pPr>
  </w:style>
  <w:style w:type="character" w:customStyle="1" w:styleId="HeaderChar">
    <w:name w:val="Header Char"/>
    <w:basedOn w:val="DefaultParagraphFont"/>
    <w:link w:val="Header"/>
    <w:uiPriority w:val="99"/>
    <w:rsid w:val="0028441C"/>
  </w:style>
  <w:style w:type="paragraph" w:styleId="Footer">
    <w:name w:val="footer"/>
    <w:basedOn w:val="Normal"/>
    <w:link w:val="FooterChar"/>
    <w:uiPriority w:val="99"/>
    <w:unhideWhenUsed/>
    <w:rsid w:val="0028441C"/>
    <w:pPr>
      <w:tabs>
        <w:tab w:val="center" w:pos="4680"/>
        <w:tab w:val="right" w:pos="9360"/>
      </w:tabs>
    </w:pPr>
  </w:style>
  <w:style w:type="character" w:customStyle="1" w:styleId="FooterChar">
    <w:name w:val="Footer Char"/>
    <w:basedOn w:val="DefaultParagraphFont"/>
    <w:link w:val="Footer"/>
    <w:uiPriority w:val="99"/>
    <w:rsid w:val="0028441C"/>
  </w:style>
  <w:style w:type="character" w:customStyle="1" w:styleId="DocID">
    <w:name w:val="DocID"/>
    <w:basedOn w:val="DefaultParagraphFont"/>
    <w:rsid w:val="0028441C"/>
    <w:rPr>
      <w:rFonts w:eastAsia="Times New Roman"/>
      <w:color w:val="000000"/>
      <w:sz w:val="16"/>
    </w:rPr>
  </w:style>
  <w:style w:type="character" w:styleId="Hyperlink">
    <w:name w:val="Hyperlink"/>
    <w:basedOn w:val="DefaultParagraphFont"/>
    <w:uiPriority w:val="99"/>
    <w:unhideWhenUsed/>
    <w:rsid w:val="004F7D09"/>
    <w:rPr>
      <w:color w:val="0563C1" w:themeColor="hyperlink"/>
      <w:u w:val="single"/>
    </w:rPr>
  </w:style>
  <w:style w:type="character" w:customStyle="1" w:styleId="UnresolvedMention1">
    <w:name w:val="Unresolved Mention1"/>
    <w:basedOn w:val="DefaultParagraphFont"/>
    <w:uiPriority w:val="99"/>
    <w:semiHidden/>
    <w:unhideWhenUsed/>
    <w:rsid w:val="004F7D09"/>
    <w:rPr>
      <w:color w:val="605E5C"/>
      <w:shd w:val="clear" w:color="auto" w:fill="E1DFDD"/>
    </w:rPr>
  </w:style>
  <w:style w:type="paragraph" w:styleId="ListParagraph">
    <w:name w:val="List Paragraph"/>
    <w:basedOn w:val="Normal"/>
    <w:uiPriority w:val="34"/>
    <w:qFormat/>
    <w:rsid w:val="004F7D09"/>
    <w:pPr>
      <w:ind w:left="720"/>
      <w:contextualSpacing/>
    </w:pPr>
  </w:style>
  <w:style w:type="character" w:customStyle="1" w:styleId="Heading1Char">
    <w:name w:val="Heading 1 Char"/>
    <w:basedOn w:val="DefaultParagraphFont"/>
    <w:link w:val="Heading1"/>
    <w:uiPriority w:val="9"/>
    <w:rsid w:val="004F7D0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E08B9"/>
    <w:rPr>
      <w:sz w:val="16"/>
      <w:szCs w:val="16"/>
    </w:rPr>
  </w:style>
  <w:style w:type="paragraph" w:styleId="CommentText">
    <w:name w:val="annotation text"/>
    <w:basedOn w:val="Normal"/>
    <w:link w:val="CommentTextChar"/>
    <w:uiPriority w:val="99"/>
    <w:semiHidden/>
    <w:unhideWhenUsed/>
    <w:rsid w:val="00BE08B9"/>
    <w:rPr>
      <w:sz w:val="20"/>
      <w:szCs w:val="20"/>
    </w:rPr>
  </w:style>
  <w:style w:type="character" w:customStyle="1" w:styleId="CommentTextChar">
    <w:name w:val="Comment Text Char"/>
    <w:basedOn w:val="DefaultParagraphFont"/>
    <w:link w:val="CommentText"/>
    <w:uiPriority w:val="99"/>
    <w:semiHidden/>
    <w:rsid w:val="00BE08B9"/>
    <w:rPr>
      <w:sz w:val="20"/>
      <w:szCs w:val="20"/>
    </w:rPr>
  </w:style>
  <w:style w:type="paragraph" w:styleId="CommentSubject">
    <w:name w:val="annotation subject"/>
    <w:basedOn w:val="CommentText"/>
    <w:next w:val="CommentText"/>
    <w:link w:val="CommentSubjectChar"/>
    <w:uiPriority w:val="99"/>
    <w:semiHidden/>
    <w:unhideWhenUsed/>
    <w:rsid w:val="00BE08B9"/>
    <w:rPr>
      <w:b/>
      <w:bCs/>
    </w:rPr>
  </w:style>
  <w:style w:type="character" w:customStyle="1" w:styleId="CommentSubjectChar">
    <w:name w:val="Comment Subject Char"/>
    <w:basedOn w:val="CommentTextChar"/>
    <w:link w:val="CommentSubject"/>
    <w:uiPriority w:val="99"/>
    <w:semiHidden/>
    <w:rsid w:val="00BE08B9"/>
    <w:rPr>
      <w:b/>
      <w:bCs/>
      <w:sz w:val="20"/>
      <w:szCs w:val="20"/>
    </w:rPr>
  </w:style>
  <w:style w:type="paragraph" w:styleId="BalloonText">
    <w:name w:val="Balloon Text"/>
    <w:basedOn w:val="Normal"/>
    <w:link w:val="BalloonTextChar"/>
    <w:uiPriority w:val="99"/>
    <w:semiHidden/>
    <w:unhideWhenUsed/>
    <w:rsid w:val="00BE0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FF643-F615-4B64-A839-344AD38C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1788</Words>
  <Characters>10198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2020-09-04T15:56:00Z</dcterms:created>
  <dcterms:modified xsi:type="dcterms:W3CDTF">2020-09-04T15:56:00Z</dcterms:modified>
</cp:coreProperties>
</file>