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21498" w14:textId="77777777" w:rsidR="00855B80" w:rsidRPr="0093063E" w:rsidRDefault="006B5B0E" w:rsidP="0093063E">
      <w:pPr>
        <w:spacing w:line="271" w:lineRule="exact"/>
        <w:jc w:val="center"/>
        <w:textAlignment w:val="baseline"/>
        <w:rPr>
          <w:rFonts w:eastAsia="Times New Roman"/>
          <w:b/>
          <w:color w:val="000000"/>
          <w:spacing w:val="5"/>
          <w:sz w:val="23"/>
        </w:rPr>
      </w:pPr>
      <w:r w:rsidRPr="0093063E">
        <w:rPr>
          <w:rFonts w:eastAsia="Times New Roman"/>
          <w:b/>
          <w:color w:val="000000"/>
          <w:spacing w:val="5"/>
          <w:sz w:val="23"/>
        </w:rPr>
        <w:t>LIMITED USE LABEL LICENSE: RESEARCH USE ONLY</w:t>
      </w:r>
    </w:p>
    <w:p w14:paraId="08CCE177" w14:textId="77777777" w:rsidR="00855B80" w:rsidRDefault="006B5B0E">
      <w:pPr>
        <w:spacing w:before="257" w:line="266" w:lineRule="exact"/>
        <w:jc w:val="both"/>
        <w:textAlignment w:val="baseline"/>
        <w:rPr>
          <w:rFonts w:eastAsia="Times New Roman"/>
          <w:color w:val="000000"/>
          <w:sz w:val="23"/>
          <w:u w:val="single"/>
        </w:rPr>
      </w:pPr>
      <w:r w:rsidRPr="00B7647F">
        <w:rPr>
          <w:rFonts w:eastAsia="Times New Roman"/>
          <w:b/>
          <w:color w:val="000000"/>
          <w:sz w:val="23"/>
        </w:rPr>
        <w:t>Notice to Purchaser:</w:t>
      </w:r>
      <w:r>
        <w:rPr>
          <w:rFonts w:eastAsia="Times New Roman"/>
          <w:color w:val="000000"/>
          <w:sz w:val="23"/>
        </w:rPr>
        <w:t xml:space="preserve"> This product (the "</w:t>
      </w:r>
      <w:r w:rsidRPr="0093063E">
        <w:rPr>
          <w:rFonts w:eastAsia="Times New Roman"/>
          <w:color w:val="000000"/>
          <w:sz w:val="23"/>
          <w:u w:val="single"/>
        </w:rPr>
        <w:t>Product</w:t>
      </w:r>
      <w:r>
        <w:rPr>
          <w:rFonts w:eastAsia="Times New Roman"/>
          <w:color w:val="000000"/>
          <w:sz w:val="23"/>
        </w:rPr>
        <w:t>") is purchased or leased from Oxford Nanopore Technologies Ltd. subject to a "</w:t>
      </w:r>
      <w:r w:rsidRPr="0093063E">
        <w:rPr>
          <w:rFonts w:eastAsia="Times New Roman"/>
          <w:color w:val="000000"/>
          <w:sz w:val="23"/>
          <w:u w:val="single"/>
        </w:rPr>
        <w:t>Limited Use Label License</w:t>
      </w:r>
      <w:r>
        <w:rPr>
          <w:rFonts w:eastAsia="Times New Roman"/>
          <w:color w:val="000000"/>
          <w:sz w:val="23"/>
        </w:rPr>
        <w:t>" conveying to the end-user purchaser ("</w:t>
      </w:r>
      <w:r w:rsidRPr="0093063E">
        <w:rPr>
          <w:rFonts w:eastAsia="Times New Roman"/>
          <w:color w:val="000000"/>
          <w:sz w:val="23"/>
          <w:u w:val="single"/>
        </w:rPr>
        <w:t>Purchaser</w:t>
      </w:r>
      <w:r>
        <w:rPr>
          <w:rFonts w:eastAsia="Times New Roman"/>
          <w:color w:val="000000"/>
          <w:sz w:val="23"/>
        </w:rPr>
        <w:t xml:space="preserve">”) of </w:t>
      </w:r>
      <w:r>
        <w:rPr>
          <w:rFonts w:eastAsia="Times New Roman"/>
          <w:color w:val="000000"/>
          <w:sz w:val="23"/>
        </w:rPr>
        <w:t xml:space="preserve">the Product a limited, non-transferable right to use the Product and to customize the Product using purchaser-selected guides, solely to perform nucleic acid analysis for internal research purposes. This right to use the Product does not include a license </w:t>
      </w:r>
      <w:r>
        <w:rPr>
          <w:rFonts w:eastAsia="Times New Roman"/>
          <w:color w:val="000000"/>
          <w:sz w:val="23"/>
        </w:rPr>
        <w:t>or right to use the Product for developing third-party technology or products.</w:t>
      </w:r>
    </w:p>
    <w:p w14:paraId="36F24854" w14:textId="77777777" w:rsidR="00855B80" w:rsidRDefault="006B5B0E">
      <w:pPr>
        <w:spacing w:before="258" w:line="265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Purchaser cannot sell or otherwise transfer the Product to a third party for any Excluded Use or otherwise use the Product for any Excluded Use. "</w:t>
      </w:r>
      <w:r w:rsidRPr="0093063E">
        <w:rPr>
          <w:rFonts w:eastAsia="Times New Roman"/>
          <w:color w:val="000000"/>
          <w:sz w:val="23"/>
          <w:u w:val="single"/>
        </w:rPr>
        <w:t>Excluded Use</w:t>
      </w:r>
      <w:r>
        <w:rPr>
          <w:rFonts w:eastAsia="Times New Roman"/>
          <w:color w:val="000000"/>
          <w:sz w:val="23"/>
        </w:rPr>
        <w:t>" means any and all</w:t>
      </w:r>
      <w:r>
        <w:rPr>
          <w:rFonts w:eastAsia="Times New Roman"/>
          <w:color w:val="000000"/>
          <w:sz w:val="23"/>
        </w:rPr>
        <w:t>: (a) site-specific genome editing; (b) Commercial Activity (as defined below); (c) therapeutic or clinical procedures where validation or registration with regulatory authorities for the Product is required; (d) modification of the human germline, includi</w:t>
      </w:r>
      <w:r>
        <w:rPr>
          <w:rFonts w:eastAsia="Times New Roman"/>
          <w:color w:val="000000"/>
          <w:sz w:val="23"/>
        </w:rPr>
        <w:t>ng editing human embryo genomes or reproductive cells; and/or (e) stimulation of biased inheritance of a particular gene or trait or set of genes or traits.</w:t>
      </w:r>
    </w:p>
    <w:p w14:paraId="07CD9DE7" w14:textId="77777777" w:rsidR="00855B80" w:rsidRDefault="006B5B0E">
      <w:pPr>
        <w:spacing w:before="263" w:line="264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"</w:t>
      </w:r>
      <w:r w:rsidRPr="0093063E">
        <w:rPr>
          <w:rFonts w:eastAsia="Times New Roman"/>
          <w:color w:val="000000"/>
          <w:sz w:val="23"/>
          <w:u w:val="single"/>
        </w:rPr>
        <w:t>Commercial Activity</w:t>
      </w:r>
      <w:r>
        <w:rPr>
          <w:rFonts w:eastAsia="Times New Roman"/>
          <w:color w:val="000000"/>
          <w:sz w:val="23"/>
        </w:rPr>
        <w:t>" means (</w:t>
      </w:r>
      <w:proofErr w:type="spellStart"/>
      <w:r>
        <w:rPr>
          <w:rFonts w:eastAsia="Times New Roman"/>
          <w:color w:val="000000"/>
          <w:sz w:val="23"/>
        </w:rPr>
        <w:t>i</w:t>
      </w:r>
      <w:proofErr w:type="spellEnd"/>
      <w:r>
        <w:rPr>
          <w:rFonts w:eastAsia="Times New Roman"/>
          <w:color w:val="000000"/>
          <w:sz w:val="23"/>
        </w:rPr>
        <w:t xml:space="preserve">) the practice, performance, or provision of any method, process, or </w:t>
      </w:r>
      <w:r>
        <w:rPr>
          <w:rFonts w:eastAsia="Times New Roman"/>
          <w:color w:val="000000"/>
          <w:sz w:val="23"/>
        </w:rPr>
        <w:t>service; or (ii) the manufacture, production, sale, use, distribution, disposition, or importation of any Product; in each case (</w:t>
      </w:r>
      <w:proofErr w:type="spellStart"/>
      <w:r>
        <w:rPr>
          <w:rFonts w:eastAsia="Times New Roman"/>
          <w:color w:val="000000"/>
          <w:sz w:val="23"/>
        </w:rPr>
        <w:t>i</w:t>
      </w:r>
      <w:proofErr w:type="spellEnd"/>
      <w:r>
        <w:rPr>
          <w:rFonts w:eastAsia="Times New Roman"/>
          <w:color w:val="000000"/>
          <w:sz w:val="23"/>
        </w:rPr>
        <w:t>) or (ii) for consideration of any kind, for the purpose of sale or commercial exploitation, or on any other commercial basis.</w:t>
      </w:r>
      <w:r>
        <w:rPr>
          <w:rFonts w:eastAsia="Times New Roman"/>
          <w:color w:val="000000"/>
          <w:sz w:val="23"/>
        </w:rPr>
        <w:t xml:space="preserve"> Commercial Activity excludes (1) research, where such research is performed pursuant to a grant; (2) research services performed for a fee if such services only generate information or data, including, without limitation, quality testing of manufacturing </w:t>
      </w:r>
      <w:r>
        <w:rPr>
          <w:rFonts w:eastAsia="Times New Roman"/>
          <w:color w:val="000000"/>
          <w:sz w:val="23"/>
        </w:rPr>
        <w:t>or production processes, food or water safety and quality testing, and environmental monitoring; and (3) internal research, development, and production performed by Purchaser in the commercialization of Purchaser's own technology or products.</w:t>
      </w:r>
    </w:p>
    <w:p w14:paraId="762F6328" w14:textId="77777777" w:rsidR="00855B80" w:rsidRDefault="006B5B0E">
      <w:pPr>
        <w:spacing w:before="273" w:line="255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It is Purchas</w:t>
      </w:r>
      <w:r>
        <w:rPr>
          <w:rFonts w:eastAsia="Times New Roman"/>
          <w:color w:val="000000"/>
          <w:sz w:val="23"/>
        </w:rPr>
        <w:t>er's responsibility to use the Product in accordance with all applicable laws and regulations.</w:t>
      </w:r>
    </w:p>
    <w:p w14:paraId="12FBF73C" w14:textId="77777777" w:rsidR="007045B8" w:rsidRDefault="006B5B0E" w:rsidP="007045B8">
      <w:pPr>
        <w:spacing w:before="258" w:line="265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[</w:t>
      </w:r>
      <w:r w:rsidRPr="007045B8">
        <w:rPr>
          <w:rFonts w:eastAsia="Times New Roman"/>
          <w:color w:val="000000"/>
          <w:sz w:val="23"/>
        </w:rPr>
        <w:t xml:space="preserve">Purchaser must indemnify, defend and hold harmless </w:t>
      </w:r>
      <w:r w:rsidR="003B241E">
        <w:rPr>
          <w:rFonts w:eastAsia="Times New Roman"/>
          <w:color w:val="000000"/>
          <w:sz w:val="23"/>
        </w:rPr>
        <w:t>Oxford Nanopore Technologies Ltd. and its affiliates</w:t>
      </w:r>
      <w:r>
        <w:rPr>
          <w:rFonts w:eastAsia="Times New Roman"/>
          <w:color w:val="000000"/>
          <w:sz w:val="23"/>
        </w:rPr>
        <w:t xml:space="preserve"> (“</w:t>
      </w:r>
      <w:r w:rsidR="003B241E">
        <w:rPr>
          <w:rFonts w:eastAsia="Times New Roman"/>
          <w:color w:val="000000"/>
          <w:sz w:val="23"/>
          <w:u w:val="single"/>
        </w:rPr>
        <w:t>Oxford</w:t>
      </w:r>
      <w:r>
        <w:rPr>
          <w:rFonts w:eastAsia="Times New Roman"/>
          <w:color w:val="000000"/>
          <w:sz w:val="23"/>
        </w:rPr>
        <w:t>”)</w:t>
      </w:r>
      <w:r w:rsidRPr="007045B8">
        <w:rPr>
          <w:rFonts w:eastAsia="Times New Roman"/>
          <w:color w:val="000000"/>
          <w:sz w:val="23"/>
        </w:rPr>
        <w:t xml:space="preserve"> against any </w:t>
      </w:r>
      <w:r>
        <w:rPr>
          <w:rFonts w:eastAsia="Times New Roman"/>
          <w:color w:val="000000"/>
          <w:sz w:val="23"/>
        </w:rPr>
        <w:t>losses, damages, costs, fees, lia</w:t>
      </w:r>
      <w:r>
        <w:rPr>
          <w:rFonts w:eastAsia="Times New Roman"/>
          <w:color w:val="000000"/>
          <w:sz w:val="23"/>
        </w:rPr>
        <w:t xml:space="preserve">bility or expense </w:t>
      </w:r>
      <w:r w:rsidRPr="007045B8">
        <w:rPr>
          <w:rFonts w:eastAsia="Times New Roman"/>
          <w:color w:val="000000"/>
          <w:sz w:val="23"/>
        </w:rPr>
        <w:t xml:space="preserve">(including </w:t>
      </w:r>
      <w:r>
        <w:rPr>
          <w:rFonts w:eastAsia="Times New Roman"/>
          <w:color w:val="000000"/>
          <w:sz w:val="23"/>
        </w:rPr>
        <w:t xml:space="preserve">legal expenses and </w:t>
      </w:r>
      <w:r w:rsidRPr="007045B8">
        <w:rPr>
          <w:rFonts w:eastAsia="Times New Roman"/>
          <w:color w:val="000000"/>
          <w:sz w:val="23"/>
        </w:rPr>
        <w:t xml:space="preserve">reasonable attorneys' fees) incurred by or imposed upon </w:t>
      </w:r>
      <w:r w:rsidR="003B241E">
        <w:rPr>
          <w:rFonts w:eastAsia="Times New Roman"/>
          <w:color w:val="000000"/>
          <w:sz w:val="23"/>
        </w:rPr>
        <w:t>Oxford</w:t>
      </w:r>
      <w:r w:rsidRPr="007045B8">
        <w:rPr>
          <w:rFonts w:eastAsia="Times New Roman"/>
          <w:color w:val="000000"/>
          <w:sz w:val="23"/>
        </w:rPr>
        <w:t xml:space="preserve"> in connection with any claims, suits, investigations, actions, demands or judgments arising out of or related to (</w:t>
      </w:r>
      <w:r>
        <w:rPr>
          <w:rFonts w:eastAsia="Times New Roman"/>
          <w:color w:val="000000"/>
          <w:sz w:val="23"/>
        </w:rPr>
        <w:t>a</w:t>
      </w:r>
      <w:r w:rsidRPr="007045B8">
        <w:rPr>
          <w:rFonts w:eastAsia="Times New Roman"/>
          <w:color w:val="000000"/>
          <w:sz w:val="23"/>
        </w:rPr>
        <w:t>) the exercise of any rights g</w:t>
      </w:r>
      <w:r w:rsidRPr="007045B8">
        <w:rPr>
          <w:rFonts w:eastAsia="Times New Roman"/>
          <w:color w:val="000000"/>
          <w:sz w:val="23"/>
        </w:rPr>
        <w:t>ranted to Purchaser hereunder</w:t>
      </w:r>
      <w:r>
        <w:rPr>
          <w:rFonts w:eastAsia="Times New Roman"/>
          <w:color w:val="000000"/>
          <w:sz w:val="23"/>
        </w:rPr>
        <w:t xml:space="preserve">; or </w:t>
      </w:r>
      <w:r w:rsidRPr="007045B8">
        <w:rPr>
          <w:rFonts w:eastAsia="Times New Roman"/>
          <w:color w:val="000000"/>
          <w:sz w:val="23"/>
        </w:rPr>
        <w:t>(</w:t>
      </w:r>
      <w:r>
        <w:rPr>
          <w:rFonts w:eastAsia="Times New Roman"/>
          <w:color w:val="000000"/>
          <w:sz w:val="23"/>
        </w:rPr>
        <w:t>b</w:t>
      </w:r>
      <w:r w:rsidRPr="007045B8">
        <w:rPr>
          <w:rFonts w:eastAsia="Times New Roman"/>
          <w:color w:val="000000"/>
          <w:sz w:val="23"/>
        </w:rPr>
        <w:t>) any breach hereof by Purchaser</w:t>
      </w:r>
      <w:r>
        <w:rPr>
          <w:rFonts w:eastAsia="Times New Roman"/>
          <w:color w:val="000000"/>
          <w:sz w:val="23"/>
        </w:rPr>
        <w:t>.]</w:t>
      </w:r>
    </w:p>
    <w:p w14:paraId="67487C74" w14:textId="77777777" w:rsidR="0093063E" w:rsidRPr="0093063E" w:rsidRDefault="006B5B0E" w:rsidP="0093063E">
      <w:pPr>
        <w:spacing w:before="273" w:after="2517" w:line="262" w:lineRule="exact"/>
        <w:jc w:val="both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For information on obtaining additional rights, including commercial rights, please contact </w:t>
      </w:r>
      <w:r>
        <w:rPr>
          <w:rFonts w:eastAsia="Times New Roman"/>
          <w:color w:val="0000FF"/>
          <w:sz w:val="23"/>
          <w:u w:val="single"/>
        </w:rPr>
        <w:t>licensing@cariboubio.com</w:t>
      </w:r>
      <w:r>
        <w:rPr>
          <w:rFonts w:eastAsia="Times New Roman"/>
          <w:color w:val="000000"/>
          <w:sz w:val="23"/>
        </w:rPr>
        <w:t xml:space="preserve"> or Caribou Biosciences, Inc., 2929 7th Street, Suite 105, Berkeley, CA 94710 USA, Attn: Licensing.</w:t>
      </w:r>
    </w:p>
    <w:sectPr w:rsidR="0093063E" w:rsidRPr="0093063E" w:rsidSect="0093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938D" w14:textId="77777777" w:rsidR="00000000" w:rsidRDefault="006B5B0E">
      <w:r>
        <w:separator/>
      </w:r>
    </w:p>
  </w:endnote>
  <w:endnote w:type="continuationSeparator" w:id="0">
    <w:p w14:paraId="24D98CDD" w14:textId="77777777" w:rsidR="00000000" w:rsidRDefault="006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557C" w14:textId="77777777" w:rsidR="001360DC" w:rsidRDefault="00136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576B" w14:textId="77777777" w:rsidR="001360DC" w:rsidRDefault="001360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6C57" w14:textId="77777777" w:rsidR="001360DC" w:rsidRDefault="001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F2CC" w14:textId="77777777" w:rsidR="00000000" w:rsidRDefault="006B5B0E">
      <w:r>
        <w:separator/>
      </w:r>
    </w:p>
  </w:footnote>
  <w:footnote w:type="continuationSeparator" w:id="0">
    <w:p w14:paraId="0790FB28" w14:textId="77777777" w:rsidR="00000000" w:rsidRDefault="006B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19AA" w14:textId="77777777" w:rsidR="001360DC" w:rsidRDefault="00136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FC99" w14:textId="77777777" w:rsidR="001360DC" w:rsidRDefault="00136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0ED1" w14:textId="77777777" w:rsidR="001360DC" w:rsidRDefault="0013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47C9A"/>
    <w:multiLevelType w:val="hybridMultilevel"/>
    <w:tmpl w:val="DC9E5166"/>
    <w:lvl w:ilvl="0" w:tplc="D2F6A950">
      <w:start w:val="1"/>
      <w:numFmt w:val="lowerRoman"/>
      <w:lvlText w:val="%1."/>
      <w:lvlJc w:val="right"/>
      <w:pPr>
        <w:ind w:left="720" w:hanging="360"/>
      </w:pPr>
    </w:lvl>
    <w:lvl w:ilvl="1" w:tplc="FCE21402" w:tentative="1">
      <w:start w:val="1"/>
      <w:numFmt w:val="lowerLetter"/>
      <w:lvlText w:val="%2."/>
      <w:lvlJc w:val="left"/>
      <w:pPr>
        <w:ind w:left="1440" w:hanging="360"/>
      </w:pPr>
    </w:lvl>
    <w:lvl w:ilvl="2" w:tplc="FE861B5A" w:tentative="1">
      <w:start w:val="1"/>
      <w:numFmt w:val="lowerRoman"/>
      <w:lvlText w:val="%3."/>
      <w:lvlJc w:val="right"/>
      <w:pPr>
        <w:ind w:left="2160" w:hanging="180"/>
      </w:pPr>
    </w:lvl>
    <w:lvl w:ilvl="3" w:tplc="C4EA0156" w:tentative="1">
      <w:start w:val="1"/>
      <w:numFmt w:val="decimal"/>
      <w:lvlText w:val="%4."/>
      <w:lvlJc w:val="left"/>
      <w:pPr>
        <w:ind w:left="2880" w:hanging="360"/>
      </w:pPr>
    </w:lvl>
    <w:lvl w:ilvl="4" w:tplc="7B865D2E" w:tentative="1">
      <w:start w:val="1"/>
      <w:numFmt w:val="lowerLetter"/>
      <w:lvlText w:val="%5."/>
      <w:lvlJc w:val="left"/>
      <w:pPr>
        <w:ind w:left="3600" w:hanging="360"/>
      </w:pPr>
    </w:lvl>
    <w:lvl w:ilvl="5" w:tplc="46EC257C" w:tentative="1">
      <w:start w:val="1"/>
      <w:numFmt w:val="lowerRoman"/>
      <w:lvlText w:val="%6."/>
      <w:lvlJc w:val="right"/>
      <w:pPr>
        <w:ind w:left="4320" w:hanging="180"/>
      </w:pPr>
    </w:lvl>
    <w:lvl w:ilvl="6" w:tplc="729067FA" w:tentative="1">
      <w:start w:val="1"/>
      <w:numFmt w:val="decimal"/>
      <w:lvlText w:val="%7."/>
      <w:lvlJc w:val="left"/>
      <w:pPr>
        <w:ind w:left="5040" w:hanging="360"/>
      </w:pPr>
    </w:lvl>
    <w:lvl w:ilvl="7" w:tplc="3FDA08FE" w:tentative="1">
      <w:start w:val="1"/>
      <w:numFmt w:val="lowerLetter"/>
      <w:lvlText w:val="%8."/>
      <w:lvlJc w:val="left"/>
      <w:pPr>
        <w:ind w:left="5760" w:hanging="360"/>
      </w:pPr>
    </w:lvl>
    <w:lvl w:ilvl="8" w:tplc="71EA9A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855B80"/>
    <w:rsid w:val="000A7730"/>
    <w:rsid w:val="001360DC"/>
    <w:rsid w:val="0028441C"/>
    <w:rsid w:val="003B241E"/>
    <w:rsid w:val="00634D24"/>
    <w:rsid w:val="006B5B0E"/>
    <w:rsid w:val="007045B8"/>
    <w:rsid w:val="00812F6D"/>
    <w:rsid w:val="00855B80"/>
    <w:rsid w:val="0093063E"/>
    <w:rsid w:val="00990653"/>
    <w:rsid w:val="00B7647F"/>
    <w:rsid w:val="00F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1C"/>
  </w:style>
  <w:style w:type="paragraph" w:styleId="Footer">
    <w:name w:val="footer"/>
    <w:basedOn w:val="Normal"/>
    <w:link w:val="FooterChar"/>
    <w:uiPriority w:val="99"/>
    <w:unhideWhenUsed/>
    <w:rsid w:val="00284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1C"/>
  </w:style>
  <w:style w:type="character" w:customStyle="1" w:styleId="DocID">
    <w:name w:val="DocID"/>
    <w:basedOn w:val="DefaultParagraphFont"/>
    <w:rsid w:val="0028441C"/>
    <w:rPr>
      <w:rFonts w:eastAsia="Times New Roman"/>
      <w:color w:val="00000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4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2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2020-09-04T15:55:00Z</dcterms:created>
  <dcterms:modified xsi:type="dcterms:W3CDTF">2020-09-04T15:55:00Z</dcterms:modified>
</cp:coreProperties>
</file>